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pStyle w:val="12"/>
        <w:ind w:firstLine="0" w:firstLineChars="0"/>
        <w:jc w:val="center"/>
        <w:rPr>
          <w:rFonts w:hint="eastAsia" w:ascii="Times New Roman" w:hAnsi="Times New Roman" w:eastAsia="方正小标宋简体" w:cs="Times New Roman"/>
          <w:sz w:val="36"/>
          <w:szCs w:val="36"/>
          <w:lang w:eastAsia="zh-CN"/>
        </w:rPr>
      </w:pPr>
      <w:r>
        <w:rPr>
          <w:rFonts w:hint="default" w:ascii="Times New Roman" w:hAnsi="Times New Roman" w:eastAsia="方正小标宋简体" w:cs="Times New Roman"/>
          <w:bCs/>
          <w:kern w:val="0"/>
          <w:sz w:val="36"/>
          <w:szCs w:val="36"/>
        </w:rPr>
        <w:t>威海市水行政处罚裁量基准</w:t>
      </w:r>
      <w:r>
        <w:rPr>
          <w:rFonts w:hint="eastAsia" w:eastAsia="方正小标宋简体" w:cs="Times New Roman"/>
          <w:bCs/>
          <w:kern w:val="0"/>
          <w:sz w:val="36"/>
          <w:szCs w:val="36"/>
          <w:lang w:eastAsia="zh-CN"/>
        </w:rPr>
        <w:t>（征求意见稿）</w:t>
      </w:r>
      <w:bookmarkStart w:id="0" w:name="_GoBack"/>
      <w:bookmarkEnd w:id="0"/>
    </w:p>
    <w:tbl>
      <w:tblPr>
        <w:tblStyle w:val="8"/>
        <w:tblpPr w:leftFromText="180" w:rightFromText="180" w:vertAnchor="text" w:horzAnchor="page" w:tblpX="1318" w:tblpY="413"/>
        <w:tblOverlap w:val="never"/>
        <w:tblW w:w="14373" w:type="dxa"/>
        <w:tblInd w:w="0" w:type="dxa"/>
        <w:tblLayout w:type="fixed"/>
        <w:tblCellMar>
          <w:top w:w="0" w:type="dxa"/>
          <w:left w:w="108" w:type="dxa"/>
          <w:bottom w:w="0" w:type="dxa"/>
          <w:right w:w="108" w:type="dxa"/>
        </w:tblCellMar>
      </w:tblPr>
      <w:tblGrid>
        <w:gridCol w:w="726"/>
        <w:gridCol w:w="1981"/>
        <w:gridCol w:w="4070"/>
        <w:gridCol w:w="1596"/>
        <w:gridCol w:w="2886"/>
        <w:gridCol w:w="3114"/>
      </w:tblGrid>
      <w:tr>
        <w:tblPrEx>
          <w:tblCellMar>
            <w:top w:w="0" w:type="dxa"/>
            <w:left w:w="108" w:type="dxa"/>
            <w:bottom w:w="0" w:type="dxa"/>
            <w:right w:w="108" w:type="dxa"/>
          </w:tblCellMar>
        </w:tblPrEx>
        <w:trPr>
          <w:trHeight w:val="563" w:hRule="atLeast"/>
        </w:trPr>
        <w:tc>
          <w:tcPr>
            <w:tcW w:w="726"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编号</w:t>
            </w:r>
          </w:p>
        </w:tc>
        <w:tc>
          <w:tcPr>
            <w:tcW w:w="1981"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违法行为</w:t>
            </w:r>
          </w:p>
        </w:tc>
        <w:tc>
          <w:tcPr>
            <w:tcW w:w="4070"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法律依据</w:t>
            </w:r>
          </w:p>
        </w:tc>
        <w:tc>
          <w:tcPr>
            <w:tcW w:w="1596" w:type="dxa"/>
            <w:tcBorders>
              <w:top w:val="single" w:color="auto" w:sz="4" w:space="0"/>
              <w:left w:val="nil"/>
              <w:bottom w:val="single" w:color="auto" w:sz="4" w:space="0"/>
              <w:right w:val="single" w:color="auto" w:sz="4" w:space="0"/>
            </w:tcBorders>
            <w:noWrap w:val="0"/>
            <w:vAlign w:val="center"/>
          </w:tcPr>
          <w:p>
            <w:pPr>
              <w:widowControl/>
              <w:jc w:val="both"/>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违法程度</w:t>
            </w:r>
          </w:p>
        </w:tc>
        <w:tc>
          <w:tcPr>
            <w:tcW w:w="2886"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适用条件</w:t>
            </w:r>
          </w:p>
        </w:tc>
        <w:tc>
          <w:tcPr>
            <w:tcW w:w="3114"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处罚裁量标准</w:t>
            </w:r>
          </w:p>
        </w:tc>
      </w:tr>
      <w:tr>
        <w:tblPrEx>
          <w:tblCellMar>
            <w:top w:w="0" w:type="dxa"/>
            <w:left w:w="108" w:type="dxa"/>
            <w:bottom w:w="0" w:type="dxa"/>
            <w:right w:w="108" w:type="dxa"/>
          </w:tblCellMar>
        </w:tblPrEx>
        <w:trPr>
          <w:trHeight w:val="1365" w:hRule="atLeast"/>
        </w:trPr>
        <w:tc>
          <w:tcPr>
            <w:tcW w:w="726"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w:t>
            </w:r>
          </w:p>
        </w:tc>
        <w:tc>
          <w:tcPr>
            <w:tcW w:w="1981"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sz w:val="24"/>
                <w:szCs w:val="24"/>
              </w:rPr>
            </w:pPr>
            <w:r>
              <w:rPr>
                <w:rFonts w:hint="default" w:ascii="Times New Roman" w:hAnsi="Times New Roman" w:cs="Times New Roman"/>
                <w:sz w:val="24"/>
                <w:szCs w:val="24"/>
              </w:rPr>
              <w:t>侵占、损毁、擅自移动用水计量设施，或者干扰用水计量的处罚</w:t>
            </w:r>
          </w:p>
        </w:tc>
        <w:tc>
          <w:tcPr>
            <w:tcW w:w="4070"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400" w:lineRule="exact"/>
              <w:jc w:val="both"/>
              <w:rPr>
                <w:rFonts w:hint="default" w:ascii="Times New Roman" w:hAnsi="Times New Roman" w:cs="Times New Roman"/>
                <w:color w:val="000000"/>
                <w:sz w:val="24"/>
                <w:szCs w:val="24"/>
              </w:rPr>
            </w:pPr>
            <w:r>
              <w:rPr>
                <w:rFonts w:hint="default" w:ascii="Times New Roman" w:hAnsi="Times New Roman" w:cs="Times New Roman"/>
                <w:color w:val="000000"/>
                <w:sz w:val="24"/>
                <w:szCs w:val="24"/>
              </w:rPr>
              <w:t>【行政法规】</w:t>
            </w:r>
            <w:r>
              <w:rPr>
                <w:rFonts w:hint="default" w:ascii="Times New Roman" w:hAnsi="Times New Roman" w:cs="Times New Roman"/>
                <w:sz w:val="24"/>
                <w:szCs w:val="24"/>
              </w:rPr>
              <w:t>《节约用水条例》（2024年2月23日国务院第26次常务会议通过）</w:t>
            </w:r>
            <w:r>
              <w:rPr>
                <w:rFonts w:hint="eastAsia" w:asciiTheme="minorEastAsia" w:hAnsiTheme="minorEastAsia" w:eastAsiaTheme="minorEastAsia" w:cstheme="minorEastAsia"/>
                <w:sz w:val="24"/>
                <w:szCs w:val="24"/>
              </w:rPr>
              <w:t>第四十六条</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侵占、损毁、擅自移动用水计量设施，或者干扰用水计量的，由县级以上地方人民政府水行政、住房城乡建设主管部门或者流域管理机构责令停止违法行为，限期采取补救措施，处1万元以上10万元以下的罚款；造成损失的，依法承担赔偿责任。</w:t>
            </w:r>
            <w:r>
              <w:rPr>
                <w:rFonts w:hint="eastAsia" w:asciiTheme="minorEastAsia" w:hAnsiTheme="minorEastAsia" w:eastAsiaTheme="minorEastAsia" w:cstheme="minorEastAsia"/>
                <w:sz w:val="24"/>
                <w:szCs w:val="24"/>
                <w:lang w:eastAsia="zh-CN"/>
              </w:rPr>
              <w:t>”</w:t>
            </w:r>
          </w:p>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color w:val="000000"/>
                <w:sz w:val="24"/>
                <w:szCs w:val="24"/>
              </w:rPr>
              <w:t>【地方性法规】</w:t>
            </w:r>
            <w:r>
              <w:rPr>
                <w:rFonts w:hint="default" w:ascii="Times New Roman" w:hAnsi="Times New Roman" w:cs="Times New Roman"/>
                <w:sz w:val="24"/>
                <w:szCs w:val="24"/>
              </w:rPr>
              <w:t>《威海市节约用水条例》（20</w:t>
            </w:r>
            <w:r>
              <w:rPr>
                <w:rFonts w:hint="eastAsia" w:cs="Times New Roman"/>
                <w:sz w:val="24"/>
                <w:szCs w:val="24"/>
                <w:lang w:val="en-US" w:eastAsia="zh-CN"/>
              </w:rPr>
              <w:t>25</w:t>
            </w:r>
            <w:r>
              <w:rPr>
                <w:rFonts w:hint="default" w:ascii="Times New Roman" w:hAnsi="Times New Roman" w:cs="Times New Roman"/>
                <w:sz w:val="24"/>
                <w:szCs w:val="24"/>
              </w:rPr>
              <w:t>年</w:t>
            </w:r>
            <w:r>
              <w:rPr>
                <w:rFonts w:hint="eastAsia" w:cs="Times New Roman"/>
                <w:sz w:val="24"/>
                <w:szCs w:val="24"/>
                <w:lang w:val="en-US" w:eastAsia="zh-CN"/>
              </w:rPr>
              <w:t>9</w:t>
            </w:r>
            <w:r>
              <w:rPr>
                <w:rFonts w:hint="default" w:ascii="Times New Roman" w:hAnsi="Times New Roman" w:cs="Times New Roman"/>
                <w:sz w:val="24"/>
                <w:szCs w:val="24"/>
              </w:rPr>
              <w:t>月通过）</w:t>
            </w:r>
            <w:r>
              <w:rPr>
                <w:rFonts w:hint="eastAsia" w:asciiTheme="minorEastAsia" w:hAnsiTheme="minorEastAsia" w:eastAsiaTheme="minorEastAsia" w:cstheme="minorEastAsia"/>
                <w:sz w:val="24"/>
                <w:szCs w:val="24"/>
              </w:rPr>
              <w:t>第四十八条</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违反本条例第十七条规定，侵占、损毁、擅自移动用水计量设施，或者干扰用水计量的，由水行政、住房城乡建设主管部门依照职责责令停止违法行为，限期采取补救措施，处一万元以上十万元以下的罚款；造成损失的，依法承担赔偿责任。</w:t>
            </w:r>
            <w:r>
              <w:rPr>
                <w:rFonts w:hint="eastAsia" w:asciiTheme="minorEastAsia" w:hAnsiTheme="minorEastAsia" w:eastAsiaTheme="minorEastAsia" w:cstheme="minorEastAsia"/>
                <w:sz w:val="24"/>
                <w:szCs w:val="24"/>
                <w:lang w:eastAsia="zh-CN"/>
              </w:rPr>
              <w:t>”</w:t>
            </w:r>
          </w:p>
        </w:tc>
        <w:tc>
          <w:tcPr>
            <w:tcW w:w="1596" w:type="dxa"/>
            <w:tcBorders>
              <w:top w:val="single" w:color="auto" w:sz="4" w:space="0"/>
              <w:left w:val="nil"/>
              <w:bottom w:val="single" w:color="auto" w:sz="4" w:space="0"/>
              <w:right w:val="single" w:color="auto" w:sz="4" w:space="0"/>
            </w:tcBorders>
            <w:noWrap w:val="0"/>
            <w:vAlign w:val="center"/>
          </w:tcPr>
          <w:p>
            <w:pPr>
              <w:jc w:val="center"/>
              <w:rPr>
                <w:rFonts w:hint="default" w:ascii="Times New Roman" w:hAnsi="Times New Roman" w:cs="Times New Roman"/>
                <w:color w:val="auto"/>
                <w:sz w:val="24"/>
                <w:szCs w:val="24"/>
              </w:rPr>
            </w:pPr>
            <w:r>
              <w:rPr>
                <w:rFonts w:hint="eastAsia" w:cs="Times New Roman"/>
                <w:color w:val="auto"/>
                <w:sz w:val="24"/>
                <w:szCs w:val="24"/>
                <w:lang w:eastAsia="zh-CN"/>
              </w:rPr>
              <w:t>一般</w:t>
            </w:r>
          </w:p>
        </w:tc>
        <w:tc>
          <w:tcPr>
            <w:tcW w:w="2886" w:type="dxa"/>
            <w:tcBorders>
              <w:top w:val="single" w:color="auto" w:sz="4" w:space="0"/>
              <w:left w:val="nil"/>
              <w:bottom w:val="single" w:color="auto" w:sz="4" w:space="0"/>
              <w:right w:val="single" w:color="auto" w:sz="4" w:space="0"/>
            </w:tcBorders>
            <w:noWrap w:val="0"/>
            <w:vAlign w:val="center"/>
          </w:tcPr>
          <w:p>
            <w:pPr>
              <w:rPr>
                <w:rFonts w:hint="default" w:ascii="Times New Roman" w:hAnsi="Times New Roman" w:cs="Times New Roman"/>
                <w:color w:val="auto"/>
                <w:sz w:val="24"/>
                <w:szCs w:val="24"/>
              </w:rPr>
            </w:pPr>
            <w:r>
              <w:rPr>
                <w:rFonts w:hint="eastAsia"/>
                <w:color w:val="auto"/>
              </w:rPr>
              <w:t>停止违法行为</w:t>
            </w:r>
            <w:r>
              <w:rPr>
                <w:rFonts w:hint="eastAsia"/>
                <w:color w:val="auto"/>
                <w:lang w:eastAsia="zh-CN"/>
              </w:rPr>
              <w:t>、</w:t>
            </w:r>
            <w:r>
              <w:rPr>
                <w:rFonts w:hint="eastAsia"/>
                <w:color w:val="auto"/>
              </w:rPr>
              <w:t>在限期内采取补救措施恢复原状，经检验后不影响用水计量数据的真实性、准确性。</w:t>
            </w:r>
          </w:p>
        </w:tc>
        <w:tc>
          <w:tcPr>
            <w:tcW w:w="3114" w:type="dxa"/>
            <w:tcBorders>
              <w:top w:val="single" w:color="auto" w:sz="4" w:space="0"/>
              <w:left w:val="nil"/>
              <w:bottom w:val="single" w:color="auto" w:sz="4" w:space="0"/>
              <w:right w:val="single" w:color="auto" w:sz="4" w:space="0"/>
            </w:tcBorders>
            <w:noWrap w:val="0"/>
            <w:vAlign w:val="center"/>
          </w:tcPr>
          <w:p>
            <w:pPr>
              <w:rPr>
                <w:rFonts w:hint="eastAsia" w:ascii="宋体" w:hAnsi="宋体" w:cs="宋体"/>
                <w:color w:val="auto"/>
                <w:kern w:val="0"/>
                <w:szCs w:val="21"/>
                <w:lang w:val="en-US" w:eastAsia="zh-CN"/>
              </w:rPr>
            </w:pPr>
            <w:r>
              <w:rPr>
                <w:rFonts w:hint="eastAsia" w:ascii="宋体" w:hAnsi="宋体" w:cs="宋体"/>
                <w:color w:val="auto"/>
                <w:kern w:val="0"/>
                <w:szCs w:val="21"/>
                <w:lang w:val="en-US" w:eastAsia="zh-CN"/>
              </w:rPr>
              <w:t>处1万元以上3万元以下的罚款；</w:t>
            </w:r>
          </w:p>
          <w:p>
            <w:pPr>
              <w:rPr>
                <w:rFonts w:hint="default" w:ascii="Times New Roman" w:hAnsi="Times New Roman" w:cs="Times New Roman"/>
                <w:color w:val="auto"/>
                <w:sz w:val="24"/>
                <w:szCs w:val="24"/>
              </w:rPr>
            </w:pPr>
            <w:r>
              <w:rPr>
                <w:rFonts w:hint="eastAsia" w:ascii="宋体" w:hAnsi="宋体" w:cs="宋体"/>
                <w:color w:val="auto"/>
                <w:kern w:val="0"/>
                <w:szCs w:val="21"/>
                <w:lang w:val="en-US" w:eastAsia="zh-CN"/>
              </w:rPr>
              <w:t>造成损失的，依法承担赔偿责任。</w:t>
            </w:r>
          </w:p>
        </w:tc>
      </w:tr>
      <w:tr>
        <w:tblPrEx>
          <w:tblCellMar>
            <w:top w:w="0" w:type="dxa"/>
            <w:left w:w="108" w:type="dxa"/>
            <w:bottom w:w="0" w:type="dxa"/>
            <w:right w:w="108" w:type="dxa"/>
          </w:tblCellMar>
        </w:tblPrEx>
        <w:trPr>
          <w:trHeight w:val="1682" w:hRule="atLeast"/>
        </w:trPr>
        <w:tc>
          <w:tcPr>
            <w:tcW w:w="72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kern w:val="0"/>
                <w:sz w:val="24"/>
                <w:szCs w:val="24"/>
              </w:rPr>
            </w:pPr>
          </w:p>
        </w:tc>
        <w:tc>
          <w:tcPr>
            <w:tcW w:w="198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sz w:val="24"/>
                <w:szCs w:val="24"/>
              </w:rPr>
            </w:pPr>
          </w:p>
        </w:tc>
        <w:tc>
          <w:tcPr>
            <w:tcW w:w="407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kern w:val="0"/>
                <w:sz w:val="24"/>
                <w:szCs w:val="24"/>
              </w:rPr>
            </w:pPr>
          </w:p>
        </w:tc>
        <w:tc>
          <w:tcPr>
            <w:tcW w:w="1596" w:type="dxa"/>
            <w:tcBorders>
              <w:top w:val="single" w:color="auto" w:sz="4" w:space="0"/>
              <w:left w:val="nil"/>
              <w:bottom w:val="single" w:color="auto" w:sz="4" w:space="0"/>
              <w:right w:val="single" w:color="auto" w:sz="4" w:space="0"/>
            </w:tcBorders>
            <w:noWrap w:val="0"/>
            <w:vAlign w:val="center"/>
          </w:tcPr>
          <w:p>
            <w:pPr>
              <w:jc w:val="center"/>
              <w:rPr>
                <w:rFonts w:hint="default" w:ascii="Times New Roman" w:hAnsi="Times New Roman" w:cs="Times New Roman"/>
                <w:color w:val="auto"/>
                <w:sz w:val="24"/>
                <w:szCs w:val="24"/>
              </w:rPr>
            </w:pPr>
            <w:r>
              <w:rPr>
                <w:rFonts w:hint="eastAsia" w:cs="Times New Roman"/>
                <w:color w:val="auto"/>
                <w:sz w:val="24"/>
                <w:szCs w:val="24"/>
                <w:lang w:eastAsia="zh-CN"/>
              </w:rPr>
              <w:t>较重</w:t>
            </w:r>
          </w:p>
        </w:tc>
        <w:tc>
          <w:tcPr>
            <w:tcW w:w="2886" w:type="dxa"/>
            <w:tcBorders>
              <w:top w:val="single" w:color="auto" w:sz="4" w:space="0"/>
              <w:left w:val="nil"/>
              <w:bottom w:val="single" w:color="auto" w:sz="4" w:space="0"/>
              <w:right w:val="single" w:color="auto" w:sz="4" w:space="0"/>
            </w:tcBorders>
            <w:noWrap w:val="0"/>
            <w:vAlign w:val="center"/>
          </w:tcPr>
          <w:p>
            <w:pPr>
              <w:rPr>
                <w:rFonts w:hint="default" w:ascii="Times New Roman" w:hAnsi="Times New Roman" w:cs="Times New Roman"/>
                <w:color w:val="auto"/>
                <w:kern w:val="0"/>
                <w:sz w:val="24"/>
                <w:szCs w:val="24"/>
              </w:rPr>
            </w:pPr>
            <w:r>
              <w:rPr>
                <w:rFonts w:hint="eastAsia" w:ascii="宋体" w:hAnsi="宋体" w:cs="宋体"/>
                <w:color w:val="auto"/>
                <w:kern w:val="0"/>
                <w:szCs w:val="21"/>
                <w:lang w:val="en-US" w:eastAsia="zh-CN"/>
              </w:rPr>
              <w:t>停止违法行为、在限期内采取补救措施，经检验后影响用水计量数据的真实性、准确性。</w:t>
            </w:r>
          </w:p>
        </w:tc>
        <w:tc>
          <w:tcPr>
            <w:tcW w:w="3114" w:type="dxa"/>
            <w:tcBorders>
              <w:top w:val="single" w:color="auto" w:sz="4" w:space="0"/>
              <w:left w:val="nil"/>
              <w:bottom w:val="single" w:color="auto" w:sz="4" w:space="0"/>
              <w:right w:val="single" w:color="auto" w:sz="4" w:space="0"/>
            </w:tcBorders>
            <w:noWrap w:val="0"/>
            <w:vAlign w:val="center"/>
          </w:tcPr>
          <w:p>
            <w:pPr>
              <w:rPr>
                <w:rFonts w:hint="eastAsia" w:ascii="宋体" w:hAnsi="宋体" w:cs="宋体"/>
                <w:color w:val="auto"/>
                <w:kern w:val="0"/>
                <w:szCs w:val="21"/>
                <w:lang w:val="en-US" w:eastAsia="zh-CN"/>
              </w:rPr>
            </w:pPr>
            <w:r>
              <w:rPr>
                <w:rFonts w:hint="eastAsia" w:ascii="宋体" w:hAnsi="宋体" w:cs="宋体"/>
                <w:color w:val="auto"/>
                <w:kern w:val="0"/>
                <w:szCs w:val="21"/>
                <w:lang w:val="en-US" w:eastAsia="zh-CN"/>
              </w:rPr>
              <w:t>处3万元以上5万元以下的罚款；</w:t>
            </w:r>
          </w:p>
          <w:p>
            <w:pPr>
              <w:rPr>
                <w:rFonts w:hint="default" w:ascii="Times New Roman" w:hAnsi="Times New Roman" w:cs="Times New Roman"/>
                <w:color w:val="auto"/>
                <w:sz w:val="24"/>
                <w:szCs w:val="24"/>
              </w:rPr>
            </w:pPr>
            <w:r>
              <w:rPr>
                <w:rFonts w:hint="eastAsia" w:ascii="宋体" w:hAnsi="宋体" w:cs="宋体"/>
                <w:color w:val="auto"/>
                <w:kern w:val="0"/>
                <w:szCs w:val="21"/>
                <w:lang w:val="en-US" w:eastAsia="zh-CN"/>
              </w:rPr>
              <w:t>造成损失的，依法承担赔偿责任。</w:t>
            </w:r>
          </w:p>
        </w:tc>
      </w:tr>
      <w:tr>
        <w:tblPrEx>
          <w:tblCellMar>
            <w:top w:w="0" w:type="dxa"/>
            <w:left w:w="108" w:type="dxa"/>
            <w:bottom w:w="0" w:type="dxa"/>
            <w:right w:w="108" w:type="dxa"/>
          </w:tblCellMar>
        </w:tblPrEx>
        <w:trPr>
          <w:trHeight w:val="1974" w:hRule="atLeast"/>
        </w:trPr>
        <w:tc>
          <w:tcPr>
            <w:tcW w:w="72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kern w:val="0"/>
                <w:sz w:val="24"/>
                <w:szCs w:val="24"/>
              </w:rPr>
            </w:pPr>
          </w:p>
        </w:tc>
        <w:tc>
          <w:tcPr>
            <w:tcW w:w="198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sz w:val="24"/>
                <w:szCs w:val="24"/>
              </w:rPr>
            </w:pPr>
          </w:p>
        </w:tc>
        <w:tc>
          <w:tcPr>
            <w:tcW w:w="407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kern w:val="0"/>
                <w:sz w:val="24"/>
                <w:szCs w:val="24"/>
              </w:rPr>
            </w:pPr>
          </w:p>
        </w:tc>
        <w:tc>
          <w:tcPr>
            <w:tcW w:w="1596" w:type="dxa"/>
            <w:tcBorders>
              <w:top w:val="single" w:color="auto" w:sz="4" w:space="0"/>
              <w:left w:val="nil"/>
              <w:bottom w:val="single" w:color="auto" w:sz="4" w:space="0"/>
              <w:right w:val="single" w:color="auto" w:sz="4" w:space="0"/>
            </w:tcBorders>
            <w:noWrap w:val="0"/>
            <w:vAlign w:val="center"/>
          </w:tcPr>
          <w:p>
            <w:pPr>
              <w:jc w:val="center"/>
              <w:rPr>
                <w:rFonts w:hint="default" w:ascii="Times New Roman" w:hAnsi="Times New Roman" w:cs="Times New Roman"/>
                <w:color w:val="auto"/>
                <w:sz w:val="24"/>
                <w:szCs w:val="24"/>
              </w:rPr>
            </w:pPr>
            <w:r>
              <w:rPr>
                <w:rFonts w:hint="eastAsia" w:cs="Times New Roman"/>
                <w:color w:val="auto"/>
                <w:sz w:val="24"/>
                <w:szCs w:val="24"/>
                <w:lang w:eastAsia="zh-CN"/>
              </w:rPr>
              <w:t>严重</w:t>
            </w:r>
          </w:p>
        </w:tc>
        <w:tc>
          <w:tcPr>
            <w:tcW w:w="2886" w:type="dxa"/>
            <w:tcBorders>
              <w:top w:val="single" w:color="auto" w:sz="4" w:space="0"/>
              <w:left w:val="nil"/>
              <w:bottom w:val="single" w:color="auto" w:sz="4" w:space="0"/>
              <w:right w:val="single" w:color="auto" w:sz="4" w:space="0"/>
            </w:tcBorders>
            <w:noWrap w:val="0"/>
            <w:vAlign w:val="center"/>
          </w:tcPr>
          <w:p>
            <w:pPr>
              <w:rPr>
                <w:rFonts w:hint="default" w:ascii="Times New Roman" w:hAnsi="Times New Roman" w:cs="Times New Roman"/>
                <w:color w:val="auto"/>
                <w:sz w:val="24"/>
                <w:szCs w:val="24"/>
              </w:rPr>
            </w:pPr>
            <w:r>
              <w:rPr>
                <w:rFonts w:hint="default" w:ascii="宋体" w:hAnsi="宋体" w:cs="宋体"/>
                <w:color w:val="auto"/>
                <w:kern w:val="0"/>
                <w:szCs w:val="21"/>
                <w:lang w:val="en-US" w:eastAsia="zh-CN"/>
              </w:rPr>
              <w:t>拒不停止违法行为的</w:t>
            </w:r>
            <w:r>
              <w:rPr>
                <w:rFonts w:hint="eastAsia" w:ascii="宋体" w:hAnsi="宋体" w:cs="宋体"/>
                <w:color w:val="auto"/>
                <w:kern w:val="0"/>
                <w:szCs w:val="21"/>
                <w:lang w:val="en-US" w:eastAsia="zh-CN"/>
              </w:rPr>
              <w:t>、</w:t>
            </w:r>
            <w:r>
              <w:rPr>
                <w:rFonts w:hint="default" w:ascii="宋体" w:hAnsi="宋体" w:cs="宋体"/>
                <w:color w:val="auto"/>
                <w:kern w:val="0"/>
                <w:szCs w:val="21"/>
                <w:lang w:val="en-US" w:eastAsia="zh-CN"/>
              </w:rPr>
              <w:t>逾期不采取补救措施的。</w:t>
            </w:r>
          </w:p>
        </w:tc>
        <w:tc>
          <w:tcPr>
            <w:tcW w:w="3114" w:type="dxa"/>
            <w:tcBorders>
              <w:top w:val="single" w:color="auto" w:sz="4" w:space="0"/>
              <w:left w:val="nil"/>
              <w:bottom w:val="single" w:color="auto" w:sz="4" w:space="0"/>
              <w:right w:val="single" w:color="auto" w:sz="4" w:space="0"/>
            </w:tcBorders>
            <w:noWrap w:val="0"/>
            <w:vAlign w:val="center"/>
          </w:tcPr>
          <w:p>
            <w:pPr>
              <w:rPr>
                <w:rFonts w:hint="eastAsia" w:ascii="宋体" w:hAnsi="宋体" w:cs="宋体"/>
                <w:color w:val="auto"/>
                <w:kern w:val="0"/>
                <w:szCs w:val="21"/>
                <w:lang w:val="en-US" w:eastAsia="zh-CN"/>
              </w:rPr>
            </w:pPr>
            <w:r>
              <w:rPr>
                <w:rFonts w:hint="default" w:ascii="宋体" w:hAnsi="宋体" w:cs="宋体"/>
                <w:color w:val="auto"/>
                <w:kern w:val="0"/>
                <w:szCs w:val="21"/>
                <w:lang w:val="en-US" w:eastAsia="zh-CN"/>
              </w:rPr>
              <w:t>处5万元以上10万元以下的罚款</w:t>
            </w:r>
            <w:r>
              <w:rPr>
                <w:rFonts w:hint="eastAsia" w:ascii="宋体" w:hAnsi="宋体" w:cs="宋体"/>
                <w:color w:val="auto"/>
                <w:kern w:val="0"/>
                <w:szCs w:val="21"/>
                <w:lang w:val="en-US" w:eastAsia="zh-CN"/>
              </w:rPr>
              <w:t>；</w:t>
            </w:r>
          </w:p>
          <w:p>
            <w:pPr>
              <w:rPr>
                <w:rFonts w:hint="default" w:ascii="Times New Roman" w:hAnsi="Times New Roman" w:cs="Times New Roman"/>
                <w:color w:val="auto"/>
                <w:sz w:val="24"/>
                <w:szCs w:val="24"/>
              </w:rPr>
            </w:pPr>
            <w:r>
              <w:rPr>
                <w:rFonts w:hint="eastAsia" w:ascii="宋体" w:hAnsi="宋体" w:cs="宋体"/>
                <w:color w:val="auto"/>
                <w:kern w:val="0"/>
                <w:szCs w:val="21"/>
                <w:lang w:val="en-US" w:eastAsia="zh-CN"/>
              </w:rPr>
              <w:t>造成损失的，依法承担赔偿责任。</w:t>
            </w:r>
          </w:p>
        </w:tc>
      </w:tr>
    </w:tbl>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br w:type="page"/>
      </w:r>
    </w:p>
    <w:tbl>
      <w:tblPr>
        <w:tblStyle w:val="8"/>
        <w:tblpPr w:leftFromText="180" w:rightFromText="180" w:vertAnchor="text" w:horzAnchor="page" w:tblpX="1318" w:tblpY="1"/>
        <w:tblOverlap w:val="never"/>
        <w:tblW w:w="14373" w:type="dxa"/>
        <w:tblInd w:w="0" w:type="dxa"/>
        <w:tblLayout w:type="fixed"/>
        <w:tblCellMar>
          <w:top w:w="0" w:type="dxa"/>
          <w:left w:w="108" w:type="dxa"/>
          <w:bottom w:w="0" w:type="dxa"/>
          <w:right w:w="108" w:type="dxa"/>
        </w:tblCellMar>
      </w:tblPr>
      <w:tblGrid>
        <w:gridCol w:w="726"/>
        <w:gridCol w:w="1981"/>
        <w:gridCol w:w="4070"/>
        <w:gridCol w:w="947"/>
        <w:gridCol w:w="3535"/>
        <w:gridCol w:w="3114"/>
      </w:tblGrid>
      <w:tr>
        <w:tblPrEx>
          <w:tblCellMar>
            <w:top w:w="0" w:type="dxa"/>
            <w:left w:w="108" w:type="dxa"/>
            <w:bottom w:w="0" w:type="dxa"/>
            <w:right w:w="108" w:type="dxa"/>
          </w:tblCellMar>
        </w:tblPrEx>
        <w:trPr>
          <w:trHeight w:val="743" w:hRule="atLeast"/>
        </w:trPr>
        <w:tc>
          <w:tcPr>
            <w:tcW w:w="726"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编号</w:t>
            </w:r>
          </w:p>
        </w:tc>
        <w:tc>
          <w:tcPr>
            <w:tcW w:w="1981"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违法行为</w:t>
            </w:r>
          </w:p>
        </w:tc>
        <w:tc>
          <w:tcPr>
            <w:tcW w:w="4070"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法律依据</w:t>
            </w:r>
          </w:p>
        </w:tc>
        <w:tc>
          <w:tcPr>
            <w:tcW w:w="947"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违法</w:t>
            </w:r>
          </w:p>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程度</w:t>
            </w:r>
          </w:p>
        </w:tc>
        <w:tc>
          <w:tcPr>
            <w:tcW w:w="3535"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适用条件</w:t>
            </w:r>
          </w:p>
        </w:tc>
        <w:tc>
          <w:tcPr>
            <w:tcW w:w="3114"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处罚裁量标准</w:t>
            </w:r>
          </w:p>
        </w:tc>
      </w:tr>
      <w:tr>
        <w:tblPrEx>
          <w:tblCellMar>
            <w:top w:w="0" w:type="dxa"/>
            <w:left w:w="108" w:type="dxa"/>
            <w:bottom w:w="0" w:type="dxa"/>
            <w:right w:w="108" w:type="dxa"/>
          </w:tblCellMar>
        </w:tblPrEx>
        <w:trPr>
          <w:trHeight w:val="1658" w:hRule="atLeast"/>
        </w:trPr>
        <w:tc>
          <w:tcPr>
            <w:tcW w:w="726"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宋体" w:cs="Times New Roman"/>
                <w:kern w:val="0"/>
                <w:sz w:val="24"/>
                <w:szCs w:val="24"/>
                <w:lang w:eastAsia="zh-CN"/>
              </w:rPr>
            </w:pPr>
            <w:r>
              <w:rPr>
                <w:rFonts w:hint="eastAsia" w:cs="Times New Roman"/>
                <w:kern w:val="0"/>
                <w:sz w:val="24"/>
                <w:szCs w:val="24"/>
                <w:lang w:val="en-US" w:eastAsia="zh-CN"/>
              </w:rPr>
              <w:t>2</w:t>
            </w:r>
          </w:p>
        </w:tc>
        <w:tc>
          <w:tcPr>
            <w:tcW w:w="1981"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sz w:val="24"/>
                <w:szCs w:val="24"/>
              </w:rPr>
            </w:pPr>
            <w:r>
              <w:rPr>
                <w:rFonts w:hint="default" w:ascii="Times New Roman" w:hAnsi="Times New Roman" w:cs="Times New Roman"/>
                <w:sz w:val="24"/>
                <w:szCs w:val="24"/>
              </w:rPr>
              <w:t>对擅自拆除、移动、遮挡供水设施保护标志的处罚</w:t>
            </w:r>
          </w:p>
        </w:tc>
        <w:tc>
          <w:tcPr>
            <w:tcW w:w="4070"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400" w:lineRule="exact"/>
              <w:jc w:val="center"/>
              <w:rPr>
                <w:rFonts w:hint="default" w:ascii="Times New Roman" w:hAnsi="Times New Roman" w:eastAsia="宋体" w:cs="Times New Roman"/>
                <w:kern w:val="0"/>
                <w:sz w:val="24"/>
                <w:szCs w:val="24"/>
                <w:lang w:eastAsia="zh-CN"/>
              </w:rPr>
            </w:pPr>
            <w:r>
              <w:rPr>
                <w:rFonts w:hint="default" w:ascii="Times New Roman" w:hAnsi="Times New Roman" w:cs="Times New Roman"/>
                <w:color w:val="000000"/>
                <w:sz w:val="22"/>
              </w:rPr>
              <w:t>【地方性法规】</w:t>
            </w:r>
            <w:r>
              <w:rPr>
                <w:rFonts w:hint="default" w:ascii="Times New Roman" w:hAnsi="Times New Roman" w:cs="Times New Roman"/>
                <w:sz w:val="24"/>
                <w:szCs w:val="24"/>
              </w:rPr>
              <w:t>《威海市城乡供水安全条例》（20</w:t>
            </w:r>
            <w:r>
              <w:rPr>
                <w:rFonts w:hint="default" w:ascii="Times New Roman" w:hAnsi="Times New Roman" w:cs="Times New Roman"/>
                <w:sz w:val="24"/>
                <w:szCs w:val="24"/>
                <w:lang w:val="en-US" w:eastAsia="zh-CN"/>
              </w:rPr>
              <w:t>23</w:t>
            </w:r>
            <w:r>
              <w:rPr>
                <w:rFonts w:hint="default" w:ascii="Times New Roman" w:hAnsi="Times New Roman" w:cs="Times New Roman"/>
                <w:sz w:val="24"/>
                <w:szCs w:val="24"/>
              </w:rPr>
              <w:t>年</w:t>
            </w:r>
            <w:r>
              <w:rPr>
                <w:rFonts w:hint="default" w:ascii="Times New Roman" w:hAnsi="Times New Roman" w:cs="Times New Roman"/>
                <w:sz w:val="24"/>
                <w:szCs w:val="24"/>
                <w:lang w:val="en-US" w:eastAsia="zh-CN"/>
              </w:rPr>
              <w:t>12</w:t>
            </w:r>
            <w:r>
              <w:rPr>
                <w:rFonts w:hint="default" w:ascii="Times New Roman" w:hAnsi="Times New Roman" w:cs="Times New Roman"/>
                <w:sz w:val="24"/>
                <w:szCs w:val="24"/>
              </w:rPr>
              <w:t>月通过）第四十二条第一款</w:t>
            </w:r>
            <w:r>
              <w:rPr>
                <w:rFonts w:hint="default" w:ascii="Times New Roman" w:hAnsi="Times New Roman" w:cs="Times New Roman"/>
                <w:sz w:val="24"/>
                <w:szCs w:val="24"/>
                <w:lang w:eastAsia="zh-CN"/>
              </w:rPr>
              <w:t>：“</w:t>
            </w:r>
            <w:r>
              <w:rPr>
                <w:rFonts w:hint="default" w:ascii="Times New Roman" w:hAnsi="Times New Roman" w:cs="Times New Roman"/>
                <w:sz w:val="24"/>
                <w:szCs w:val="24"/>
              </w:rPr>
              <w:t>违反本条例规定，擅自拆除、移动、遮挡保护标志的，由城乡供水主管部门责令停止违法行为，限期恢复原状，处一千元以上一万元以下罚款。</w:t>
            </w:r>
            <w:r>
              <w:rPr>
                <w:rFonts w:hint="default" w:ascii="Times New Roman" w:hAnsi="Times New Roman" w:cs="Times New Roman"/>
                <w:sz w:val="24"/>
                <w:szCs w:val="24"/>
                <w:lang w:eastAsia="zh-CN"/>
              </w:rPr>
              <w:t>”</w:t>
            </w:r>
          </w:p>
        </w:tc>
        <w:tc>
          <w:tcPr>
            <w:tcW w:w="947" w:type="dxa"/>
            <w:tcBorders>
              <w:top w:val="single" w:color="auto" w:sz="4" w:space="0"/>
              <w:left w:val="nil"/>
              <w:bottom w:val="single" w:color="auto" w:sz="4" w:space="0"/>
              <w:right w:val="single" w:color="auto" w:sz="4" w:space="0"/>
            </w:tcBorders>
            <w:noWrap w:val="0"/>
            <w:vAlign w:val="center"/>
          </w:tcPr>
          <w:p>
            <w:pPr>
              <w:jc w:val="center"/>
              <w:rPr>
                <w:rFonts w:hint="default" w:ascii="Times New Roman" w:hAnsi="Times New Roman" w:cs="Times New Roman"/>
                <w:sz w:val="24"/>
                <w:szCs w:val="24"/>
              </w:rPr>
            </w:pPr>
            <w:r>
              <w:rPr>
                <w:rFonts w:hint="default" w:ascii="Times New Roman" w:hAnsi="Times New Roman" w:cs="Times New Roman"/>
                <w:sz w:val="24"/>
                <w:szCs w:val="24"/>
              </w:rPr>
              <w:t>一般</w:t>
            </w:r>
          </w:p>
        </w:tc>
        <w:tc>
          <w:tcPr>
            <w:tcW w:w="3535" w:type="dxa"/>
            <w:tcBorders>
              <w:top w:val="single" w:color="auto" w:sz="4" w:space="0"/>
              <w:left w:val="nil"/>
              <w:bottom w:val="single" w:color="auto" w:sz="4" w:space="0"/>
              <w:right w:val="single" w:color="auto" w:sz="4" w:space="0"/>
            </w:tcBorders>
            <w:noWrap w:val="0"/>
            <w:vAlign w:val="center"/>
          </w:tcPr>
          <w:p>
            <w:pPr>
              <w:widowControl/>
              <w:spacing w:line="400" w:lineRule="exact"/>
              <w:jc w:val="center"/>
              <w:rPr>
                <w:rFonts w:hint="eastAsia" w:ascii="Times New Roman" w:hAnsi="Times New Roman" w:eastAsia="宋体" w:cs="Times New Roman"/>
                <w:sz w:val="24"/>
                <w:szCs w:val="24"/>
                <w:lang w:eastAsia="zh-CN"/>
              </w:rPr>
            </w:pPr>
            <w:r>
              <w:rPr>
                <w:rFonts w:hint="default" w:ascii="Times New Roman" w:hAnsi="Times New Roman" w:cs="Times New Roman"/>
                <w:sz w:val="24"/>
                <w:szCs w:val="24"/>
              </w:rPr>
              <w:t>被供水企业发现后，及时停止违法行为并恢复原状，且未造成严重危害后果的</w:t>
            </w:r>
            <w:r>
              <w:rPr>
                <w:rFonts w:hint="eastAsia" w:cs="Times New Roman"/>
                <w:sz w:val="24"/>
                <w:szCs w:val="24"/>
                <w:lang w:eastAsia="zh-CN"/>
              </w:rPr>
              <w:t>。</w:t>
            </w:r>
          </w:p>
        </w:tc>
        <w:tc>
          <w:tcPr>
            <w:tcW w:w="3114" w:type="dxa"/>
            <w:tcBorders>
              <w:top w:val="single" w:color="auto" w:sz="4" w:space="0"/>
              <w:left w:val="nil"/>
              <w:bottom w:val="single" w:color="auto" w:sz="4" w:space="0"/>
              <w:right w:val="single" w:color="auto" w:sz="4" w:space="0"/>
            </w:tcBorders>
            <w:noWrap w:val="0"/>
            <w:vAlign w:val="center"/>
          </w:tcPr>
          <w:p>
            <w:pPr>
              <w:spacing w:line="280" w:lineRule="exact"/>
              <w:jc w:val="center"/>
              <w:rPr>
                <w:rFonts w:hint="default" w:ascii="Times New Roman" w:hAnsi="Times New Roman" w:cs="Times New Roman"/>
                <w:sz w:val="24"/>
                <w:szCs w:val="24"/>
              </w:rPr>
            </w:pPr>
            <w:r>
              <w:rPr>
                <w:rFonts w:hint="default" w:ascii="Times New Roman" w:hAnsi="Times New Roman" w:cs="Times New Roman"/>
                <w:sz w:val="24"/>
                <w:szCs w:val="24"/>
              </w:rPr>
              <w:t>处1</w:t>
            </w:r>
            <w:r>
              <w:rPr>
                <w:rFonts w:hint="eastAsia" w:cs="Times New Roman"/>
                <w:sz w:val="24"/>
                <w:szCs w:val="24"/>
                <w:lang w:eastAsia="zh-CN"/>
              </w:rPr>
              <w:t>千</w:t>
            </w:r>
            <w:r>
              <w:rPr>
                <w:rFonts w:hint="default" w:ascii="Times New Roman" w:hAnsi="Times New Roman" w:cs="Times New Roman"/>
                <w:sz w:val="24"/>
                <w:szCs w:val="24"/>
              </w:rPr>
              <w:t>元以上不超过2</w:t>
            </w:r>
            <w:r>
              <w:rPr>
                <w:rFonts w:hint="eastAsia" w:cs="Times New Roman"/>
                <w:sz w:val="24"/>
                <w:szCs w:val="24"/>
                <w:lang w:eastAsia="zh-CN"/>
              </w:rPr>
              <w:t>千</w:t>
            </w:r>
            <w:r>
              <w:rPr>
                <w:rFonts w:hint="default" w:ascii="Times New Roman" w:hAnsi="Times New Roman" w:cs="Times New Roman"/>
                <w:sz w:val="24"/>
                <w:szCs w:val="24"/>
              </w:rPr>
              <w:t>元的罚款</w:t>
            </w:r>
          </w:p>
        </w:tc>
      </w:tr>
      <w:tr>
        <w:tblPrEx>
          <w:tblCellMar>
            <w:top w:w="0" w:type="dxa"/>
            <w:left w:w="108" w:type="dxa"/>
            <w:bottom w:w="0" w:type="dxa"/>
            <w:right w:w="108" w:type="dxa"/>
          </w:tblCellMar>
        </w:tblPrEx>
        <w:trPr>
          <w:trHeight w:val="2066" w:hRule="atLeast"/>
        </w:trPr>
        <w:tc>
          <w:tcPr>
            <w:tcW w:w="72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kern w:val="0"/>
                <w:sz w:val="24"/>
                <w:szCs w:val="24"/>
              </w:rPr>
            </w:pPr>
          </w:p>
        </w:tc>
        <w:tc>
          <w:tcPr>
            <w:tcW w:w="198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sz w:val="24"/>
                <w:szCs w:val="24"/>
              </w:rPr>
            </w:pPr>
          </w:p>
        </w:tc>
        <w:tc>
          <w:tcPr>
            <w:tcW w:w="407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kern w:val="0"/>
                <w:sz w:val="24"/>
                <w:szCs w:val="24"/>
              </w:rPr>
            </w:pPr>
          </w:p>
        </w:tc>
        <w:tc>
          <w:tcPr>
            <w:tcW w:w="947" w:type="dxa"/>
            <w:tcBorders>
              <w:top w:val="single" w:color="auto" w:sz="4" w:space="0"/>
              <w:left w:val="nil"/>
              <w:bottom w:val="single" w:color="auto" w:sz="4" w:space="0"/>
              <w:right w:val="single" w:color="auto" w:sz="4" w:space="0"/>
            </w:tcBorders>
            <w:noWrap w:val="0"/>
            <w:vAlign w:val="center"/>
          </w:tcPr>
          <w:p>
            <w:pPr>
              <w:jc w:val="center"/>
              <w:rPr>
                <w:rFonts w:hint="default" w:ascii="Times New Roman" w:hAnsi="Times New Roman" w:cs="Times New Roman"/>
                <w:sz w:val="24"/>
                <w:szCs w:val="24"/>
              </w:rPr>
            </w:pPr>
            <w:r>
              <w:rPr>
                <w:rFonts w:hint="default" w:ascii="Times New Roman" w:hAnsi="Times New Roman" w:cs="Times New Roman"/>
                <w:sz w:val="24"/>
                <w:szCs w:val="24"/>
              </w:rPr>
              <w:t>较重</w:t>
            </w:r>
          </w:p>
        </w:tc>
        <w:tc>
          <w:tcPr>
            <w:tcW w:w="3535" w:type="dxa"/>
            <w:tcBorders>
              <w:top w:val="single" w:color="auto" w:sz="4" w:space="0"/>
              <w:left w:val="nil"/>
              <w:bottom w:val="single" w:color="auto" w:sz="4" w:space="0"/>
              <w:right w:val="single" w:color="auto" w:sz="4" w:space="0"/>
            </w:tcBorders>
            <w:noWrap w:val="0"/>
            <w:vAlign w:val="center"/>
          </w:tcPr>
          <w:p>
            <w:pPr>
              <w:widowControl/>
              <w:spacing w:line="480" w:lineRule="exact"/>
              <w:jc w:val="center"/>
              <w:rPr>
                <w:rFonts w:hint="eastAsia" w:ascii="Times New Roman" w:hAnsi="Times New Roman" w:eastAsia="宋体" w:cs="Times New Roman"/>
                <w:kern w:val="0"/>
                <w:sz w:val="24"/>
                <w:szCs w:val="24"/>
                <w:lang w:eastAsia="zh-CN"/>
              </w:rPr>
            </w:pPr>
            <w:r>
              <w:rPr>
                <w:rFonts w:hint="default" w:ascii="Times New Roman" w:hAnsi="Times New Roman" w:cs="Times New Roman"/>
                <w:kern w:val="0"/>
                <w:sz w:val="24"/>
                <w:szCs w:val="24"/>
              </w:rPr>
              <w:t>在执法部门责令改正后，能停止违法行为并在限期内恢复原状，且未对城乡供水安全造成危严重危害的</w:t>
            </w:r>
            <w:r>
              <w:rPr>
                <w:rFonts w:hint="eastAsia" w:cs="Times New Roman"/>
                <w:kern w:val="0"/>
                <w:sz w:val="24"/>
                <w:szCs w:val="24"/>
                <w:lang w:eastAsia="zh-CN"/>
              </w:rPr>
              <w:t>。</w:t>
            </w:r>
          </w:p>
        </w:tc>
        <w:tc>
          <w:tcPr>
            <w:tcW w:w="3114" w:type="dxa"/>
            <w:tcBorders>
              <w:top w:val="single" w:color="auto" w:sz="4" w:space="0"/>
              <w:left w:val="nil"/>
              <w:bottom w:val="single" w:color="auto" w:sz="4" w:space="0"/>
              <w:right w:val="single" w:color="auto" w:sz="4" w:space="0"/>
            </w:tcBorders>
            <w:noWrap w:val="0"/>
            <w:vAlign w:val="center"/>
          </w:tcPr>
          <w:p>
            <w:pPr>
              <w:spacing w:line="280" w:lineRule="exact"/>
              <w:jc w:val="center"/>
              <w:rPr>
                <w:rFonts w:hint="default" w:ascii="Times New Roman" w:hAnsi="Times New Roman" w:cs="Times New Roman"/>
                <w:sz w:val="24"/>
                <w:szCs w:val="24"/>
              </w:rPr>
            </w:pPr>
            <w:r>
              <w:rPr>
                <w:rFonts w:hint="default" w:ascii="Times New Roman" w:hAnsi="Times New Roman" w:cs="Times New Roman"/>
                <w:kern w:val="0"/>
                <w:sz w:val="24"/>
                <w:szCs w:val="24"/>
              </w:rPr>
              <w:t>处2</w:t>
            </w:r>
            <w:r>
              <w:rPr>
                <w:rFonts w:hint="eastAsia" w:cs="Times New Roman"/>
                <w:kern w:val="0"/>
                <w:sz w:val="24"/>
                <w:szCs w:val="24"/>
                <w:lang w:eastAsia="zh-CN"/>
              </w:rPr>
              <w:t>千</w:t>
            </w:r>
            <w:r>
              <w:rPr>
                <w:rFonts w:hint="default" w:ascii="Times New Roman" w:hAnsi="Times New Roman" w:cs="Times New Roman"/>
                <w:kern w:val="0"/>
                <w:sz w:val="24"/>
                <w:szCs w:val="24"/>
              </w:rPr>
              <w:t>元以上不超过5</w:t>
            </w:r>
            <w:r>
              <w:rPr>
                <w:rFonts w:hint="eastAsia" w:cs="Times New Roman"/>
                <w:kern w:val="0"/>
                <w:sz w:val="24"/>
                <w:szCs w:val="24"/>
                <w:lang w:eastAsia="zh-CN"/>
              </w:rPr>
              <w:t>千</w:t>
            </w:r>
            <w:r>
              <w:rPr>
                <w:rFonts w:hint="default" w:ascii="Times New Roman" w:hAnsi="Times New Roman" w:cs="Times New Roman"/>
                <w:kern w:val="0"/>
                <w:sz w:val="24"/>
                <w:szCs w:val="24"/>
              </w:rPr>
              <w:t>元的罚款</w:t>
            </w:r>
          </w:p>
        </w:tc>
      </w:tr>
      <w:tr>
        <w:tblPrEx>
          <w:tblCellMar>
            <w:top w:w="0" w:type="dxa"/>
            <w:left w:w="108" w:type="dxa"/>
            <w:bottom w:w="0" w:type="dxa"/>
            <w:right w:w="108" w:type="dxa"/>
          </w:tblCellMar>
        </w:tblPrEx>
        <w:trPr>
          <w:trHeight w:val="2521" w:hRule="atLeast"/>
        </w:trPr>
        <w:tc>
          <w:tcPr>
            <w:tcW w:w="72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kern w:val="0"/>
                <w:sz w:val="24"/>
                <w:szCs w:val="24"/>
              </w:rPr>
            </w:pPr>
          </w:p>
        </w:tc>
        <w:tc>
          <w:tcPr>
            <w:tcW w:w="198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sz w:val="24"/>
                <w:szCs w:val="24"/>
              </w:rPr>
            </w:pPr>
          </w:p>
        </w:tc>
        <w:tc>
          <w:tcPr>
            <w:tcW w:w="407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kern w:val="0"/>
                <w:sz w:val="24"/>
                <w:szCs w:val="24"/>
              </w:rPr>
            </w:pPr>
          </w:p>
        </w:tc>
        <w:tc>
          <w:tcPr>
            <w:tcW w:w="947" w:type="dxa"/>
            <w:tcBorders>
              <w:top w:val="single" w:color="auto" w:sz="4" w:space="0"/>
              <w:left w:val="nil"/>
              <w:bottom w:val="single" w:color="auto" w:sz="4" w:space="0"/>
              <w:right w:val="single" w:color="auto" w:sz="4" w:space="0"/>
            </w:tcBorders>
            <w:noWrap w:val="0"/>
            <w:vAlign w:val="center"/>
          </w:tcPr>
          <w:p>
            <w:pPr>
              <w:jc w:val="center"/>
              <w:rPr>
                <w:rFonts w:hint="default" w:ascii="Times New Roman" w:hAnsi="Times New Roman" w:cs="Times New Roman"/>
                <w:sz w:val="24"/>
                <w:szCs w:val="24"/>
              </w:rPr>
            </w:pPr>
            <w:r>
              <w:rPr>
                <w:rFonts w:hint="default" w:ascii="Times New Roman" w:hAnsi="Times New Roman" w:cs="Times New Roman"/>
                <w:sz w:val="24"/>
                <w:szCs w:val="24"/>
              </w:rPr>
              <w:t>严重</w:t>
            </w:r>
          </w:p>
        </w:tc>
        <w:tc>
          <w:tcPr>
            <w:tcW w:w="3535" w:type="dxa"/>
            <w:tcBorders>
              <w:top w:val="single" w:color="auto" w:sz="4" w:space="0"/>
              <w:left w:val="nil"/>
              <w:bottom w:val="single" w:color="auto" w:sz="4" w:space="0"/>
              <w:right w:val="single" w:color="auto" w:sz="4" w:space="0"/>
            </w:tcBorders>
            <w:noWrap w:val="0"/>
            <w:vAlign w:val="center"/>
          </w:tcPr>
          <w:p>
            <w:pPr>
              <w:widowControl/>
              <w:spacing w:line="240" w:lineRule="atLeast"/>
              <w:jc w:val="center"/>
              <w:rPr>
                <w:rFonts w:hint="eastAsia" w:ascii="Times New Roman" w:hAnsi="Times New Roman" w:eastAsia="宋体" w:cs="Times New Roman"/>
                <w:sz w:val="24"/>
                <w:szCs w:val="24"/>
                <w:lang w:eastAsia="zh-CN"/>
              </w:rPr>
            </w:pPr>
            <w:r>
              <w:rPr>
                <w:rFonts w:hint="default" w:ascii="Times New Roman" w:hAnsi="Times New Roman" w:cs="Times New Roman"/>
                <w:sz w:val="24"/>
                <w:szCs w:val="24"/>
              </w:rPr>
              <w:t>在限期内拒不停止违法行为、不恢复原状；或虽在限期内恢复原状但对城乡供水安全造成严重危害的</w:t>
            </w:r>
            <w:r>
              <w:rPr>
                <w:rFonts w:hint="eastAsia" w:cs="Times New Roman"/>
                <w:sz w:val="24"/>
                <w:szCs w:val="24"/>
                <w:lang w:eastAsia="zh-CN"/>
              </w:rPr>
              <w:t>。</w:t>
            </w:r>
          </w:p>
        </w:tc>
        <w:tc>
          <w:tcPr>
            <w:tcW w:w="3114" w:type="dxa"/>
            <w:tcBorders>
              <w:top w:val="single" w:color="auto" w:sz="4" w:space="0"/>
              <w:left w:val="nil"/>
              <w:bottom w:val="single" w:color="auto" w:sz="4" w:space="0"/>
              <w:right w:val="single" w:color="auto" w:sz="4" w:space="0"/>
            </w:tcBorders>
            <w:noWrap w:val="0"/>
            <w:vAlign w:val="center"/>
          </w:tcPr>
          <w:p>
            <w:pPr>
              <w:spacing w:line="280" w:lineRule="exact"/>
              <w:jc w:val="center"/>
              <w:rPr>
                <w:rFonts w:hint="default" w:ascii="Times New Roman" w:hAnsi="Times New Roman" w:cs="Times New Roman"/>
                <w:sz w:val="24"/>
                <w:szCs w:val="24"/>
              </w:rPr>
            </w:pPr>
            <w:r>
              <w:rPr>
                <w:rFonts w:hint="default" w:ascii="Times New Roman" w:hAnsi="Times New Roman" w:cs="Times New Roman"/>
                <w:sz w:val="24"/>
                <w:szCs w:val="24"/>
              </w:rPr>
              <w:t>处5</w:t>
            </w:r>
            <w:r>
              <w:rPr>
                <w:rFonts w:hint="eastAsia" w:cs="Times New Roman"/>
                <w:sz w:val="24"/>
                <w:szCs w:val="24"/>
                <w:lang w:eastAsia="zh-CN"/>
              </w:rPr>
              <w:t>千</w:t>
            </w:r>
            <w:r>
              <w:rPr>
                <w:rFonts w:hint="default" w:ascii="Times New Roman" w:hAnsi="Times New Roman" w:cs="Times New Roman"/>
                <w:sz w:val="24"/>
                <w:szCs w:val="24"/>
              </w:rPr>
              <w:t>元以上1</w:t>
            </w:r>
            <w:r>
              <w:rPr>
                <w:rFonts w:hint="eastAsia" w:cs="Times New Roman"/>
                <w:sz w:val="24"/>
                <w:szCs w:val="24"/>
                <w:lang w:eastAsia="zh-CN"/>
              </w:rPr>
              <w:t>万</w:t>
            </w:r>
            <w:r>
              <w:rPr>
                <w:rFonts w:hint="default" w:ascii="Times New Roman" w:hAnsi="Times New Roman" w:cs="Times New Roman"/>
                <w:sz w:val="24"/>
                <w:szCs w:val="24"/>
              </w:rPr>
              <w:t>元以下的罚款</w:t>
            </w:r>
          </w:p>
        </w:tc>
      </w:tr>
    </w:tbl>
    <w:p>
      <w:pPr>
        <w:pBdr>
          <w:top w:val="none" w:color="auto" w:sz="0" w:space="1"/>
          <w:left w:val="none" w:color="auto" w:sz="0" w:space="0"/>
          <w:bottom w:val="none" w:color="auto" w:sz="0" w:space="1"/>
          <w:right w:val="none" w:color="auto" w:sz="0" w:space="0"/>
          <w:between w:val="none" w:color="auto" w:sz="0" w:space="0"/>
        </w:pBdr>
        <w:spacing w:line="240" w:lineRule="auto"/>
        <w:rPr>
          <w:rFonts w:hint="default" w:ascii="Times New Roman" w:hAnsi="Times New Roman" w:cs="Times New Roman"/>
          <w:sz w:val="30"/>
          <w:szCs w:val="30"/>
        </w:rPr>
      </w:pPr>
    </w:p>
    <w:tbl>
      <w:tblPr>
        <w:tblStyle w:val="8"/>
        <w:tblpPr w:leftFromText="180" w:rightFromText="180" w:vertAnchor="text" w:horzAnchor="page" w:tblpX="1318" w:tblpY="413"/>
        <w:tblOverlap w:val="never"/>
        <w:tblW w:w="0" w:type="auto"/>
        <w:tblInd w:w="0" w:type="dxa"/>
        <w:tblLayout w:type="fixed"/>
        <w:tblCellMar>
          <w:top w:w="0" w:type="dxa"/>
          <w:left w:w="108" w:type="dxa"/>
          <w:bottom w:w="0" w:type="dxa"/>
          <w:right w:w="108" w:type="dxa"/>
        </w:tblCellMar>
      </w:tblPr>
      <w:tblGrid>
        <w:gridCol w:w="726"/>
        <w:gridCol w:w="1981"/>
        <w:gridCol w:w="4070"/>
        <w:gridCol w:w="947"/>
        <w:gridCol w:w="3535"/>
        <w:gridCol w:w="3114"/>
      </w:tblGrid>
      <w:tr>
        <w:tblPrEx>
          <w:tblCellMar>
            <w:top w:w="0" w:type="dxa"/>
            <w:left w:w="108" w:type="dxa"/>
            <w:bottom w:w="0" w:type="dxa"/>
            <w:right w:w="108" w:type="dxa"/>
          </w:tblCellMar>
        </w:tblPrEx>
        <w:trPr>
          <w:trHeight w:val="743" w:hRule="atLeast"/>
        </w:trPr>
        <w:tc>
          <w:tcPr>
            <w:tcW w:w="726"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编号</w:t>
            </w:r>
          </w:p>
        </w:tc>
        <w:tc>
          <w:tcPr>
            <w:tcW w:w="1981"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违法行为</w:t>
            </w:r>
          </w:p>
        </w:tc>
        <w:tc>
          <w:tcPr>
            <w:tcW w:w="4070"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法律依据</w:t>
            </w:r>
          </w:p>
        </w:tc>
        <w:tc>
          <w:tcPr>
            <w:tcW w:w="947"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违法</w:t>
            </w:r>
          </w:p>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程度</w:t>
            </w:r>
          </w:p>
        </w:tc>
        <w:tc>
          <w:tcPr>
            <w:tcW w:w="3535"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适用条件</w:t>
            </w:r>
          </w:p>
        </w:tc>
        <w:tc>
          <w:tcPr>
            <w:tcW w:w="3114"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处罚裁量标准</w:t>
            </w:r>
          </w:p>
        </w:tc>
      </w:tr>
      <w:tr>
        <w:tblPrEx>
          <w:tblCellMar>
            <w:top w:w="0" w:type="dxa"/>
            <w:left w:w="108" w:type="dxa"/>
            <w:bottom w:w="0" w:type="dxa"/>
            <w:right w:w="108" w:type="dxa"/>
          </w:tblCellMar>
        </w:tblPrEx>
        <w:trPr>
          <w:trHeight w:val="1658" w:hRule="atLeast"/>
        </w:trPr>
        <w:tc>
          <w:tcPr>
            <w:tcW w:w="726"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宋体" w:cs="Times New Roman"/>
                <w:kern w:val="0"/>
                <w:sz w:val="24"/>
                <w:szCs w:val="24"/>
                <w:lang w:eastAsia="zh-CN"/>
              </w:rPr>
            </w:pPr>
            <w:r>
              <w:rPr>
                <w:rFonts w:hint="eastAsia" w:cs="Times New Roman"/>
                <w:kern w:val="0"/>
                <w:sz w:val="24"/>
                <w:szCs w:val="24"/>
                <w:lang w:val="en-US" w:eastAsia="zh-CN"/>
              </w:rPr>
              <w:t>3</w:t>
            </w:r>
          </w:p>
        </w:tc>
        <w:tc>
          <w:tcPr>
            <w:tcW w:w="1981"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sz w:val="24"/>
                <w:szCs w:val="24"/>
              </w:rPr>
            </w:pPr>
            <w:r>
              <w:rPr>
                <w:rFonts w:hint="default" w:ascii="Times New Roman" w:hAnsi="Times New Roman" w:cs="Times New Roman"/>
                <w:sz w:val="24"/>
                <w:szCs w:val="24"/>
              </w:rPr>
              <w:t>对掩埋、圈占、占压或者擅自启闭城乡供水设施的处罚</w:t>
            </w:r>
          </w:p>
        </w:tc>
        <w:tc>
          <w:tcPr>
            <w:tcW w:w="4070"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color w:val="000000"/>
                <w:sz w:val="22"/>
              </w:rPr>
              <w:t>【地方性法规】</w:t>
            </w:r>
            <w:r>
              <w:rPr>
                <w:rFonts w:hint="default" w:ascii="Times New Roman" w:hAnsi="Times New Roman" w:cs="Times New Roman"/>
                <w:sz w:val="24"/>
                <w:szCs w:val="24"/>
              </w:rPr>
              <w:t>《威海市城乡供水安全条例》（20</w:t>
            </w:r>
            <w:r>
              <w:rPr>
                <w:rFonts w:hint="default" w:ascii="Times New Roman" w:hAnsi="Times New Roman" w:cs="Times New Roman"/>
                <w:sz w:val="24"/>
                <w:szCs w:val="24"/>
                <w:lang w:val="en-US" w:eastAsia="zh-CN"/>
              </w:rPr>
              <w:t>23</w:t>
            </w:r>
            <w:r>
              <w:rPr>
                <w:rFonts w:hint="default" w:ascii="Times New Roman" w:hAnsi="Times New Roman" w:cs="Times New Roman"/>
                <w:sz w:val="24"/>
                <w:szCs w:val="24"/>
              </w:rPr>
              <w:t>年</w:t>
            </w:r>
            <w:r>
              <w:rPr>
                <w:rFonts w:hint="default" w:ascii="Times New Roman" w:hAnsi="Times New Roman" w:cs="Times New Roman"/>
                <w:sz w:val="24"/>
                <w:szCs w:val="24"/>
                <w:lang w:val="en-US" w:eastAsia="zh-CN"/>
              </w:rPr>
              <w:t>12</w:t>
            </w:r>
            <w:r>
              <w:rPr>
                <w:rFonts w:hint="default" w:ascii="Times New Roman" w:hAnsi="Times New Roman" w:cs="Times New Roman"/>
                <w:sz w:val="24"/>
                <w:szCs w:val="24"/>
              </w:rPr>
              <w:t>月通过）第四十二条第</w:t>
            </w:r>
            <w:r>
              <w:rPr>
                <w:rFonts w:hint="default" w:ascii="Times New Roman" w:hAnsi="Times New Roman" w:cs="Times New Roman"/>
                <w:sz w:val="24"/>
                <w:szCs w:val="24"/>
                <w:lang w:eastAsia="zh-CN"/>
              </w:rPr>
              <w:t>二</w:t>
            </w:r>
            <w:r>
              <w:rPr>
                <w:rFonts w:hint="default" w:ascii="Times New Roman" w:hAnsi="Times New Roman" w:cs="Times New Roman"/>
                <w:sz w:val="24"/>
                <w:szCs w:val="24"/>
              </w:rPr>
              <w:t>款</w:t>
            </w:r>
            <w:r>
              <w:rPr>
                <w:rFonts w:hint="default" w:ascii="Times New Roman" w:hAnsi="Times New Roman" w:cs="Times New Roman"/>
                <w:sz w:val="24"/>
                <w:szCs w:val="24"/>
                <w:lang w:eastAsia="zh-CN"/>
              </w:rPr>
              <w:t>：“</w:t>
            </w:r>
            <w:r>
              <w:rPr>
                <w:rFonts w:hint="default" w:ascii="Times New Roman" w:hAnsi="Times New Roman" w:cs="Times New Roman"/>
                <w:sz w:val="24"/>
                <w:szCs w:val="24"/>
              </w:rPr>
              <w:t>违反本条例规定，掩埋、圈占、占压或者擅自启闭城乡供水设施的，由城乡供水主管部门责令停止违法行为，限期恢复原状，处一万元以上五万元以下罚款。</w:t>
            </w:r>
            <w:r>
              <w:rPr>
                <w:rFonts w:hint="default" w:ascii="Times New Roman" w:hAnsi="Times New Roman" w:cs="Times New Roman"/>
                <w:sz w:val="24"/>
                <w:szCs w:val="24"/>
                <w:lang w:eastAsia="zh-CN"/>
              </w:rPr>
              <w:t>”</w:t>
            </w:r>
          </w:p>
        </w:tc>
        <w:tc>
          <w:tcPr>
            <w:tcW w:w="947" w:type="dxa"/>
            <w:tcBorders>
              <w:top w:val="single" w:color="auto" w:sz="4" w:space="0"/>
              <w:left w:val="nil"/>
              <w:bottom w:val="single" w:color="auto" w:sz="4" w:space="0"/>
              <w:right w:val="single" w:color="auto" w:sz="4" w:space="0"/>
            </w:tcBorders>
            <w:noWrap w:val="0"/>
            <w:vAlign w:val="center"/>
          </w:tcPr>
          <w:p>
            <w:pPr>
              <w:jc w:val="center"/>
              <w:rPr>
                <w:rFonts w:hint="default" w:ascii="Times New Roman" w:hAnsi="Times New Roman" w:cs="Times New Roman"/>
                <w:sz w:val="24"/>
                <w:szCs w:val="24"/>
              </w:rPr>
            </w:pPr>
            <w:r>
              <w:rPr>
                <w:rFonts w:hint="default" w:ascii="Times New Roman" w:hAnsi="Times New Roman" w:cs="Times New Roman"/>
                <w:sz w:val="24"/>
                <w:szCs w:val="24"/>
              </w:rPr>
              <w:t>一般</w:t>
            </w:r>
          </w:p>
        </w:tc>
        <w:tc>
          <w:tcPr>
            <w:tcW w:w="3535" w:type="dxa"/>
            <w:tcBorders>
              <w:top w:val="single" w:color="auto" w:sz="4" w:space="0"/>
              <w:left w:val="nil"/>
              <w:bottom w:val="single" w:color="auto" w:sz="4" w:space="0"/>
              <w:right w:val="single" w:color="auto" w:sz="4" w:space="0"/>
            </w:tcBorders>
            <w:noWrap w:val="0"/>
            <w:vAlign w:val="center"/>
          </w:tcPr>
          <w:p>
            <w:pPr>
              <w:widowControl/>
              <w:spacing w:line="400" w:lineRule="exact"/>
              <w:jc w:val="center"/>
              <w:rPr>
                <w:rFonts w:hint="eastAsia" w:ascii="Times New Roman" w:hAnsi="Times New Roman" w:eastAsia="宋体" w:cs="Times New Roman"/>
                <w:sz w:val="24"/>
                <w:szCs w:val="24"/>
                <w:lang w:eastAsia="zh-CN"/>
              </w:rPr>
            </w:pPr>
            <w:r>
              <w:rPr>
                <w:rFonts w:hint="default" w:ascii="Times New Roman" w:hAnsi="Times New Roman" w:cs="Times New Roman"/>
                <w:sz w:val="24"/>
                <w:szCs w:val="24"/>
              </w:rPr>
              <w:t>被供水企业发现后,在限期内停止违法行为恢复原状，未造成严重危害后果的</w:t>
            </w:r>
            <w:r>
              <w:rPr>
                <w:rFonts w:hint="eastAsia" w:cs="Times New Roman"/>
                <w:sz w:val="24"/>
                <w:szCs w:val="24"/>
                <w:lang w:eastAsia="zh-CN"/>
              </w:rPr>
              <w:t>。</w:t>
            </w:r>
          </w:p>
        </w:tc>
        <w:tc>
          <w:tcPr>
            <w:tcW w:w="3114" w:type="dxa"/>
            <w:tcBorders>
              <w:top w:val="single" w:color="auto" w:sz="4" w:space="0"/>
              <w:left w:val="nil"/>
              <w:bottom w:val="single" w:color="auto" w:sz="4" w:space="0"/>
              <w:right w:val="single" w:color="auto" w:sz="4" w:space="0"/>
            </w:tcBorders>
            <w:noWrap w:val="0"/>
            <w:vAlign w:val="center"/>
          </w:tcPr>
          <w:p>
            <w:pPr>
              <w:spacing w:line="280" w:lineRule="exact"/>
              <w:jc w:val="center"/>
              <w:rPr>
                <w:rFonts w:hint="default" w:ascii="Times New Roman" w:hAnsi="Times New Roman" w:cs="Times New Roman"/>
                <w:sz w:val="24"/>
                <w:szCs w:val="24"/>
              </w:rPr>
            </w:pPr>
            <w:r>
              <w:rPr>
                <w:rFonts w:hint="default" w:ascii="Times New Roman" w:hAnsi="Times New Roman" w:cs="Times New Roman"/>
                <w:sz w:val="24"/>
                <w:szCs w:val="24"/>
              </w:rPr>
              <w:t>处1</w:t>
            </w:r>
            <w:r>
              <w:rPr>
                <w:rFonts w:hint="eastAsia" w:cs="Times New Roman"/>
                <w:sz w:val="24"/>
                <w:szCs w:val="24"/>
                <w:lang w:eastAsia="zh-CN"/>
              </w:rPr>
              <w:t>万</w:t>
            </w:r>
            <w:r>
              <w:rPr>
                <w:rFonts w:hint="default" w:ascii="Times New Roman" w:hAnsi="Times New Roman" w:cs="Times New Roman"/>
                <w:sz w:val="24"/>
                <w:szCs w:val="24"/>
              </w:rPr>
              <w:t>元以上不超过2</w:t>
            </w:r>
            <w:r>
              <w:rPr>
                <w:rFonts w:hint="eastAsia" w:cs="Times New Roman"/>
                <w:sz w:val="24"/>
                <w:szCs w:val="24"/>
                <w:lang w:eastAsia="zh-CN"/>
              </w:rPr>
              <w:t>万</w:t>
            </w:r>
            <w:r>
              <w:rPr>
                <w:rFonts w:hint="default" w:ascii="Times New Roman" w:hAnsi="Times New Roman" w:cs="Times New Roman"/>
                <w:sz w:val="24"/>
                <w:szCs w:val="24"/>
              </w:rPr>
              <w:t>元的罚款</w:t>
            </w:r>
          </w:p>
        </w:tc>
      </w:tr>
      <w:tr>
        <w:tblPrEx>
          <w:tblCellMar>
            <w:top w:w="0" w:type="dxa"/>
            <w:left w:w="108" w:type="dxa"/>
            <w:bottom w:w="0" w:type="dxa"/>
            <w:right w:w="108" w:type="dxa"/>
          </w:tblCellMar>
        </w:tblPrEx>
        <w:trPr>
          <w:trHeight w:val="2066" w:hRule="atLeast"/>
        </w:trPr>
        <w:tc>
          <w:tcPr>
            <w:tcW w:w="72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kern w:val="0"/>
                <w:sz w:val="24"/>
                <w:szCs w:val="24"/>
              </w:rPr>
            </w:pPr>
          </w:p>
        </w:tc>
        <w:tc>
          <w:tcPr>
            <w:tcW w:w="198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sz w:val="24"/>
                <w:szCs w:val="24"/>
              </w:rPr>
            </w:pPr>
          </w:p>
        </w:tc>
        <w:tc>
          <w:tcPr>
            <w:tcW w:w="407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kern w:val="0"/>
                <w:sz w:val="24"/>
                <w:szCs w:val="24"/>
              </w:rPr>
            </w:pPr>
          </w:p>
        </w:tc>
        <w:tc>
          <w:tcPr>
            <w:tcW w:w="947" w:type="dxa"/>
            <w:tcBorders>
              <w:top w:val="single" w:color="auto" w:sz="4" w:space="0"/>
              <w:left w:val="nil"/>
              <w:bottom w:val="single" w:color="auto" w:sz="4" w:space="0"/>
              <w:right w:val="single" w:color="auto" w:sz="4" w:space="0"/>
            </w:tcBorders>
            <w:noWrap w:val="0"/>
            <w:vAlign w:val="center"/>
          </w:tcPr>
          <w:p>
            <w:pPr>
              <w:jc w:val="center"/>
              <w:rPr>
                <w:rFonts w:hint="default" w:ascii="Times New Roman" w:hAnsi="Times New Roman" w:cs="Times New Roman"/>
                <w:sz w:val="24"/>
                <w:szCs w:val="24"/>
              </w:rPr>
            </w:pPr>
            <w:r>
              <w:rPr>
                <w:rFonts w:hint="default" w:ascii="Times New Roman" w:hAnsi="Times New Roman" w:cs="Times New Roman"/>
                <w:sz w:val="24"/>
                <w:szCs w:val="24"/>
              </w:rPr>
              <w:t>较重</w:t>
            </w:r>
          </w:p>
        </w:tc>
        <w:tc>
          <w:tcPr>
            <w:tcW w:w="3535" w:type="dxa"/>
            <w:tcBorders>
              <w:top w:val="single" w:color="auto" w:sz="4" w:space="0"/>
              <w:left w:val="nil"/>
              <w:bottom w:val="single" w:color="auto" w:sz="4" w:space="0"/>
              <w:right w:val="single" w:color="auto" w:sz="4" w:space="0"/>
            </w:tcBorders>
            <w:noWrap w:val="0"/>
            <w:vAlign w:val="center"/>
          </w:tcPr>
          <w:p>
            <w:pPr>
              <w:widowControl/>
              <w:spacing w:line="480" w:lineRule="exact"/>
              <w:jc w:val="center"/>
              <w:rPr>
                <w:rFonts w:hint="eastAsia" w:ascii="Times New Roman" w:hAnsi="Times New Roman" w:eastAsia="宋体" w:cs="Times New Roman"/>
                <w:kern w:val="0"/>
                <w:sz w:val="24"/>
                <w:szCs w:val="24"/>
                <w:lang w:eastAsia="zh-CN"/>
              </w:rPr>
            </w:pPr>
            <w:r>
              <w:rPr>
                <w:rFonts w:hint="default" w:ascii="Times New Roman" w:hAnsi="Times New Roman" w:cs="Times New Roman"/>
                <w:sz w:val="24"/>
                <w:szCs w:val="24"/>
              </w:rPr>
              <w:t>在执法部门责令改正后，能停止违法行为并在限期内恢复原状，且未对城乡供水安全造成危严重危害的</w:t>
            </w:r>
            <w:r>
              <w:rPr>
                <w:rFonts w:hint="eastAsia" w:cs="Times New Roman"/>
                <w:sz w:val="24"/>
                <w:szCs w:val="24"/>
                <w:lang w:eastAsia="zh-CN"/>
              </w:rPr>
              <w:t>。</w:t>
            </w:r>
          </w:p>
        </w:tc>
        <w:tc>
          <w:tcPr>
            <w:tcW w:w="3114" w:type="dxa"/>
            <w:tcBorders>
              <w:top w:val="single" w:color="auto" w:sz="4" w:space="0"/>
              <w:left w:val="nil"/>
              <w:bottom w:val="single" w:color="auto" w:sz="4" w:space="0"/>
              <w:right w:val="single" w:color="auto" w:sz="4" w:space="0"/>
            </w:tcBorders>
            <w:noWrap w:val="0"/>
            <w:vAlign w:val="center"/>
          </w:tcPr>
          <w:p>
            <w:pPr>
              <w:spacing w:line="280" w:lineRule="exact"/>
              <w:jc w:val="center"/>
              <w:rPr>
                <w:rFonts w:hint="default" w:ascii="Times New Roman" w:hAnsi="Times New Roman" w:cs="Times New Roman"/>
                <w:sz w:val="24"/>
                <w:szCs w:val="24"/>
              </w:rPr>
            </w:pPr>
            <w:r>
              <w:rPr>
                <w:rFonts w:hint="default" w:ascii="Times New Roman" w:hAnsi="Times New Roman" w:cs="Times New Roman"/>
                <w:sz w:val="24"/>
                <w:szCs w:val="24"/>
              </w:rPr>
              <w:t>处2</w:t>
            </w:r>
            <w:r>
              <w:rPr>
                <w:rFonts w:hint="eastAsia" w:cs="Times New Roman"/>
                <w:sz w:val="24"/>
                <w:szCs w:val="24"/>
                <w:lang w:eastAsia="zh-CN"/>
              </w:rPr>
              <w:t>万</w:t>
            </w:r>
            <w:r>
              <w:rPr>
                <w:rFonts w:hint="default" w:ascii="Times New Roman" w:hAnsi="Times New Roman" w:cs="Times New Roman"/>
                <w:sz w:val="24"/>
                <w:szCs w:val="24"/>
              </w:rPr>
              <w:t>元以上不超过3</w:t>
            </w:r>
            <w:r>
              <w:rPr>
                <w:rFonts w:hint="eastAsia" w:cs="Times New Roman"/>
                <w:sz w:val="24"/>
                <w:szCs w:val="24"/>
                <w:lang w:eastAsia="zh-CN"/>
              </w:rPr>
              <w:t>万</w:t>
            </w:r>
            <w:r>
              <w:rPr>
                <w:rFonts w:hint="default" w:ascii="Times New Roman" w:hAnsi="Times New Roman" w:cs="Times New Roman"/>
                <w:sz w:val="24"/>
                <w:szCs w:val="24"/>
              </w:rPr>
              <w:t>元的罚款</w:t>
            </w:r>
          </w:p>
        </w:tc>
      </w:tr>
      <w:tr>
        <w:tblPrEx>
          <w:tblCellMar>
            <w:top w:w="0" w:type="dxa"/>
            <w:left w:w="108" w:type="dxa"/>
            <w:bottom w:w="0" w:type="dxa"/>
            <w:right w:w="108" w:type="dxa"/>
          </w:tblCellMar>
        </w:tblPrEx>
        <w:trPr>
          <w:trHeight w:val="2521" w:hRule="atLeast"/>
        </w:trPr>
        <w:tc>
          <w:tcPr>
            <w:tcW w:w="72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kern w:val="0"/>
                <w:sz w:val="24"/>
                <w:szCs w:val="24"/>
              </w:rPr>
            </w:pPr>
          </w:p>
        </w:tc>
        <w:tc>
          <w:tcPr>
            <w:tcW w:w="198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sz w:val="24"/>
                <w:szCs w:val="24"/>
              </w:rPr>
            </w:pPr>
          </w:p>
        </w:tc>
        <w:tc>
          <w:tcPr>
            <w:tcW w:w="407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kern w:val="0"/>
                <w:sz w:val="24"/>
                <w:szCs w:val="24"/>
              </w:rPr>
            </w:pPr>
          </w:p>
        </w:tc>
        <w:tc>
          <w:tcPr>
            <w:tcW w:w="947" w:type="dxa"/>
            <w:tcBorders>
              <w:top w:val="single" w:color="auto" w:sz="4" w:space="0"/>
              <w:left w:val="nil"/>
              <w:bottom w:val="single" w:color="auto" w:sz="4" w:space="0"/>
              <w:right w:val="single" w:color="auto" w:sz="4" w:space="0"/>
            </w:tcBorders>
            <w:noWrap w:val="0"/>
            <w:vAlign w:val="center"/>
          </w:tcPr>
          <w:p>
            <w:pPr>
              <w:jc w:val="center"/>
              <w:rPr>
                <w:rFonts w:hint="default" w:ascii="Times New Roman" w:hAnsi="Times New Roman" w:cs="Times New Roman"/>
                <w:sz w:val="24"/>
                <w:szCs w:val="24"/>
              </w:rPr>
            </w:pPr>
            <w:r>
              <w:rPr>
                <w:rFonts w:hint="default" w:ascii="Times New Roman" w:hAnsi="Times New Roman" w:cs="Times New Roman"/>
                <w:sz w:val="24"/>
                <w:szCs w:val="24"/>
              </w:rPr>
              <w:t>严重</w:t>
            </w:r>
          </w:p>
        </w:tc>
        <w:tc>
          <w:tcPr>
            <w:tcW w:w="3535" w:type="dxa"/>
            <w:tcBorders>
              <w:top w:val="single" w:color="auto" w:sz="4" w:space="0"/>
              <w:left w:val="nil"/>
              <w:bottom w:val="single" w:color="auto" w:sz="4" w:space="0"/>
              <w:right w:val="single" w:color="auto" w:sz="4" w:space="0"/>
            </w:tcBorders>
            <w:noWrap w:val="0"/>
            <w:vAlign w:val="center"/>
          </w:tcPr>
          <w:p>
            <w:pPr>
              <w:widowControl/>
              <w:spacing w:line="240" w:lineRule="atLeast"/>
              <w:jc w:val="center"/>
              <w:rPr>
                <w:rFonts w:hint="eastAsia" w:ascii="Times New Roman" w:hAnsi="Times New Roman" w:eastAsia="宋体" w:cs="Times New Roman"/>
                <w:sz w:val="24"/>
                <w:szCs w:val="24"/>
                <w:lang w:eastAsia="zh-CN"/>
              </w:rPr>
            </w:pPr>
            <w:r>
              <w:rPr>
                <w:rFonts w:hint="default" w:ascii="Times New Roman" w:hAnsi="Times New Roman" w:cs="Times New Roman"/>
                <w:sz w:val="24"/>
                <w:szCs w:val="24"/>
              </w:rPr>
              <w:t>在限期内拒不停止违法行为、不恢复原状；或虽在限期内恢复原状但已造成城市供水突发事件等严重危害城乡供水安全的</w:t>
            </w:r>
            <w:r>
              <w:rPr>
                <w:rFonts w:hint="eastAsia" w:cs="Times New Roman"/>
                <w:sz w:val="24"/>
                <w:szCs w:val="24"/>
                <w:lang w:eastAsia="zh-CN"/>
              </w:rPr>
              <w:t>。</w:t>
            </w:r>
          </w:p>
        </w:tc>
        <w:tc>
          <w:tcPr>
            <w:tcW w:w="3114" w:type="dxa"/>
            <w:tcBorders>
              <w:top w:val="single" w:color="auto" w:sz="4" w:space="0"/>
              <w:left w:val="nil"/>
              <w:bottom w:val="single" w:color="auto" w:sz="4" w:space="0"/>
              <w:right w:val="single" w:color="auto" w:sz="4" w:space="0"/>
            </w:tcBorders>
            <w:noWrap w:val="0"/>
            <w:vAlign w:val="center"/>
          </w:tcPr>
          <w:p>
            <w:pPr>
              <w:spacing w:line="280" w:lineRule="exact"/>
              <w:jc w:val="center"/>
              <w:rPr>
                <w:rFonts w:hint="default" w:ascii="Times New Roman" w:hAnsi="Times New Roman" w:cs="Times New Roman"/>
                <w:sz w:val="24"/>
                <w:szCs w:val="24"/>
              </w:rPr>
            </w:pPr>
            <w:r>
              <w:rPr>
                <w:rFonts w:hint="default" w:ascii="Times New Roman" w:hAnsi="Times New Roman" w:cs="Times New Roman"/>
                <w:sz w:val="24"/>
                <w:szCs w:val="24"/>
              </w:rPr>
              <w:t>处3</w:t>
            </w:r>
            <w:r>
              <w:rPr>
                <w:rFonts w:hint="eastAsia" w:cs="Times New Roman"/>
                <w:sz w:val="24"/>
                <w:szCs w:val="24"/>
                <w:lang w:eastAsia="zh-CN"/>
              </w:rPr>
              <w:t>万</w:t>
            </w:r>
            <w:r>
              <w:rPr>
                <w:rFonts w:hint="default" w:ascii="Times New Roman" w:hAnsi="Times New Roman" w:cs="Times New Roman"/>
                <w:sz w:val="24"/>
                <w:szCs w:val="24"/>
              </w:rPr>
              <w:t>元以上5</w:t>
            </w:r>
            <w:r>
              <w:rPr>
                <w:rFonts w:hint="eastAsia" w:cs="Times New Roman"/>
                <w:sz w:val="24"/>
                <w:szCs w:val="24"/>
                <w:lang w:eastAsia="zh-CN"/>
              </w:rPr>
              <w:t>万</w:t>
            </w:r>
            <w:r>
              <w:rPr>
                <w:rFonts w:hint="default" w:ascii="Times New Roman" w:hAnsi="Times New Roman" w:cs="Times New Roman"/>
                <w:sz w:val="24"/>
                <w:szCs w:val="24"/>
              </w:rPr>
              <w:t>元以下的罚款</w:t>
            </w:r>
          </w:p>
        </w:tc>
      </w:tr>
    </w:tbl>
    <w:p>
      <w:pPr>
        <w:pBdr>
          <w:top w:val="none" w:color="auto" w:sz="0" w:space="1"/>
          <w:left w:val="none" w:color="auto" w:sz="0" w:space="0"/>
          <w:bottom w:val="none" w:color="auto" w:sz="0" w:space="1"/>
          <w:right w:val="none" w:color="auto" w:sz="0" w:space="0"/>
          <w:between w:val="none" w:color="auto" w:sz="0" w:space="0"/>
        </w:pBdr>
        <w:spacing w:line="240" w:lineRule="auto"/>
        <w:rPr>
          <w:rFonts w:hint="default" w:ascii="Times New Roman" w:hAnsi="Times New Roman" w:cs="Times New Roman"/>
          <w:sz w:val="30"/>
          <w:szCs w:val="30"/>
        </w:rPr>
      </w:pPr>
    </w:p>
    <w:tbl>
      <w:tblPr>
        <w:tblStyle w:val="8"/>
        <w:tblpPr w:leftFromText="180" w:rightFromText="180" w:vertAnchor="text" w:horzAnchor="page" w:tblpX="1318" w:tblpY="413"/>
        <w:tblOverlap w:val="never"/>
        <w:tblW w:w="14373" w:type="dxa"/>
        <w:tblInd w:w="0" w:type="dxa"/>
        <w:tblLayout w:type="fixed"/>
        <w:tblCellMar>
          <w:top w:w="0" w:type="dxa"/>
          <w:left w:w="108" w:type="dxa"/>
          <w:bottom w:w="0" w:type="dxa"/>
          <w:right w:w="108" w:type="dxa"/>
        </w:tblCellMar>
      </w:tblPr>
      <w:tblGrid>
        <w:gridCol w:w="726"/>
        <w:gridCol w:w="1737"/>
        <w:gridCol w:w="5100"/>
        <w:gridCol w:w="1170"/>
        <w:gridCol w:w="2385"/>
        <w:gridCol w:w="3255"/>
      </w:tblGrid>
      <w:tr>
        <w:tblPrEx>
          <w:tblCellMar>
            <w:top w:w="0" w:type="dxa"/>
            <w:left w:w="108" w:type="dxa"/>
            <w:bottom w:w="0" w:type="dxa"/>
            <w:right w:w="108" w:type="dxa"/>
          </w:tblCellMar>
        </w:tblPrEx>
        <w:trPr>
          <w:trHeight w:val="743" w:hRule="atLeast"/>
        </w:trPr>
        <w:tc>
          <w:tcPr>
            <w:tcW w:w="726" w:type="dxa"/>
            <w:tcBorders>
              <w:top w:val="single" w:color="auto" w:sz="4" w:space="0"/>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编号</w:t>
            </w:r>
          </w:p>
        </w:tc>
        <w:tc>
          <w:tcPr>
            <w:tcW w:w="1737"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违法行为</w:t>
            </w:r>
          </w:p>
        </w:tc>
        <w:tc>
          <w:tcPr>
            <w:tcW w:w="5100"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法律依据</w:t>
            </w:r>
          </w:p>
        </w:tc>
        <w:tc>
          <w:tcPr>
            <w:tcW w:w="1170"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违法</w:t>
            </w:r>
          </w:p>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程度</w:t>
            </w:r>
          </w:p>
        </w:tc>
        <w:tc>
          <w:tcPr>
            <w:tcW w:w="2385"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适用条件</w:t>
            </w:r>
          </w:p>
        </w:tc>
        <w:tc>
          <w:tcPr>
            <w:tcW w:w="3255" w:type="dxa"/>
            <w:tcBorders>
              <w:top w:val="single" w:color="auto" w:sz="4" w:space="0"/>
              <w:left w:val="nil"/>
              <w:bottom w:val="single" w:color="auto" w:sz="4" w:space="0"/>
              <w:right w:val="single" w:color="auto" w:sz="4" w:space="0"/>
            </w:tcBorders>
            <w:noWrap w:val="0"/>
            <w:vAlign w:val="center"/>
          </w:tcPr>
          <w:p>
            <w:pPr>
              <w:widowControl/>
              <w:jc w:val="center"/>
              <w:rPr>
                <w:rFonts w:hint="default" w:ascii="Times New Roman" w:hAnsi="Times New Roman" w:eastAsia="黑体" w:cs="Times New Roman"/>
                <w:kern w:val="0"/>
                <w:sz w:val="24"/>
                <w:szCs w:val="24"/>
              </w:rPr>
            </w:pPr>
            <w:r>
              <w:rPr>
                <w:rFonts w:hint="default" w:ascii="Times New Roman" w:hAnsi="Times New Roman" w:eastAsia="黑体" w:cs="Times New Roman"/>
                <w:kern w:val="0"/>
                <w:sz w:val="24"/>
                <w:szCs w:val="24"/>
              </w:rPr>
              <w:t>处罚裁量标准</w:t>
            </w:r>
          </w:p>
        </w:tc>
      </w:tr>
      <w:tr>
        <w:tblPrEx>
          <w:tblCellMar>
            <w:top w:w="0" w:type="dxa"/>
            <w:left w:w="108" w:type="dxa"/>
            <w:bottom w:w="0" w:type="dxa"/>
            <w:right w:w="108" w:type="dxa"/>
          </w:tblCellMar>
        </w:tblPrEx>
        <w:trPr>
          <w:trHeight w:val="1658" w:hRule="atLeast"/>
        </w:trPr>
        <w:tc>
          <w:tcPr>
            <w:tcW w:w="726" w:type="dxa"/>
            <w:vMerge w:val="restart"/>
            <w:tcBorders>
              <w:top w:val="single" w:color="auto" w:sz="4" w:space="0"/>
              <w:left w:val="single" w:color="auto" w:sz="4" w:space="0"/>
              <w:right w:val="single" w:color="auto" w:sz="4" w:space="0"/>
            </w:tcBorders>
            <w:noWrap w:val="0"/>
            <w:vAlign w:val="center"/>
          </w:tcPr>
          <w:p>
            <w:pPr>
              <w:widowControl/>
              <w:jc w:val="center"/>
              <w:rPr>
                <w:rFonts w:hint="default" w:ascii="Times New Roman" w:hAnsi="Times New Roman" w:eastAsia="宋体" w:cs="Times New Roman"/>
                <w:kern w:val="0"/>
                <w:sz w:val="24"/>
                <w:szCs w:val="24"/>
                <w:lang w:val="en-US" w:eastAsia="zh-CN"/>
              </w:rPr>
            </w:pPr>
            <w:r>
              <w:rPr>
                <w:rFonts w:hint="eastAsia" w:eastAsia="宋体" w:cs="Times New Roman"/>
                <w:kern w:val="0"/>
                <w:sz w:val="24"/>
                <w:szCs w:val="24"/>
                <w:lang w:val="en-US" w:eastAsia="zh-CN"/>
              </w:rPr>
              <w:t>4</w:t>
            </w:r>
          </w:p>
        </w:tc>
        <w:tc>
          <w:tcPr>
            <w:tcW w:w="1737" w:type="dxa"/>
            <w:vMerge w:val="restart"/>
            <w:tcBorders>
              <w:top w:val="single" w:color="auto" w:sz="4" w:space="0"/>
              <w:left w:val="single" w:color="auto" w:sz="4" w:space="0"/>
              <w:right w:val="single" w:color="auto" w:sz="4" w:space="0"/>
            </w:tcBorders>
            <w:noWrap w:val="0"/>
            <w:vAlign w:val="center"/>
          </w:tcPr>
          <w:p>
            <w:pPr>
              <w:widowControl/>
              <w:jc w:val="center"/>
              <w:rPr>
                <w:rFonts w:hint="default" w:ascii="Times New Roman" w:hAnsi="Times New Roman" w:cs="Times New Roman"/>
                <w:sz w:val="24"/>
                <w:szCs w:val="24"/>
              </w:rPr>
            </w:pPr>
            <w:r>
              <w:rPr>
                <w:rFonts w:hint="default" w:ascii="Times New Roman" w:hAnsi="Times New Roman" w:cs="Times New Roman"/>
                <w:sz w:val="24"/>
                <w:szCs w:val="24"/>
              </w:rPr>
              <w:t>对从事危及城镇污水排水设施安全活动的处罚</w:t>
            </w:r>
          </w:p>
        </w:tc>
        <w:tc>
          <w:tcPr>
            <w:tcW w:w="5100" w:type="dxa"/>
            <w:vMerge w:val="restart"/>
            <w:tcBorders>
              <w:top w:val="single" w:color="auto" w:sz="4" w:space="0"/>
              <w:left w:val="single" w:color="auto" w:sz="4" w:space="0"/>
              <w:right w:val="single" w:color="auto" w:sz="4" w:space="0"/>
            </w:tcBorders>
            <w:noWrap w:val="0"/>
            <w:vAlign w:val="center"/>
          </w:tcPr>
          <w:p>
            <w:pPr>
              <w:widowControl/>
              <w:spacing w:line="400" w:lineRule="exact"/>
              <w:jc w:val="center"/>
              <w:rPr>
                <w:rFonts w:hint="default" w:ascii="Times New Roman" w:hAnsi="Times New Roman" w:cs="Times New Roman"/>
                <w:color w:val="000000"/>
                <w:sz w:val="22"/>
              </w:rPr>
            </w:pPr>
            <w:r>
              <w:rPr>
                <w:rFonts w:hint="default" w:ascii="Times New Roman" w:hAnsi="Times New Roman" w:cs="Times New Roman"/>
                <w:color w:val="000000"/>
                <w:sz w:val="22"/>
              </w:rPr>
              <w:t>【</w:t>
            </w:r>
            <w:r>
              <w:rPr>
                <w:rFonts w:hint="eastAsia" w:cs="Times New Roman"/>
                <w:color w:val="000000"/>
                <w:sz w:val="22"/>
                <w:lang w:eastAsia="zh-CN"/>
              </w:rPr>
              <w:t>行政法规</w:t>
            </w:r>
            <w:r>
              <w:rPr>
                <w:rFonts w:hint="default" w:ascii="Times New Roman" w:hAnsi="Times New Roman" w:cs="Times New Roman"/>
                <w:color w:val="000000"/>
                <w:sz w:val="22"/>
              </w:rPr>
              <w:t>】</w:t>
            </w:r>
            <w:r>
              <w:rPr>
                <w:rFonts w:hint="default" w:ascii="Times New Roman" w:hAnsi="Times New Roman" w:cs="Times New Roman"/>
                <w:sz w:val="24"/>
                <w:szCs w:val="24"/>
              </w:rPr>
              <w:t>《城镇排水与污水处理条例》（2013年10月2日中华人民共和国国务院令第641号公布）</w:t>
            </w:r>
            <w:r>
              <w:rPr>
                <w:rFonts w:hint="default" w:ascii="Times New Roman" w:hAnsi="Times New Roman" w:cs="Times New Roman"/>
                <w:color w:val="000000"/>
                <w:sz w:val="22"/>
              </w:rPr>
              <w:t>第五十六条　违反本条例规定，从事危及城镇排水与污水处理设施安全的活动的，由城镇排水主管部门责令停止违法行为，限期恢复原状或者采取其他补救措施，给予警告；逾期不采取补救措施或者造成严重后果的，对单位处10万元以上30万元以下罚款，对个人处2万元以上10万元以下罚款；造成损失的，依法承担赔偿责任；构成犯罪的，依法追究刑事责任。</w:t>
            </w:r>
          </w:p>
          <w:p>
            <w:pPr>
              <w:widowControl/>
              <w:spacing w:line="400" w:lineRule="exact"/>
              <w:jc w:val="center"/>
              <w:rPr>
                <w:rFonts w:hint="eastAsia" w:ascii="Times New Roman" w:hAnsi="Times New Roman" w:eastAsia="宋体" w:cs="Times New Roman"/>
                <w:kern w:val="0"/>
                <w:sz w:val="24"/>
                <w:szCs w:val="24"/>
                <w:lang w:eastAsia="zh-CN"/>
              </w:rPr>
            </w:pPr>
            <w:r>
              <w:rPr>
                <w:rFonts w:hint="default" w:ascii="Times New Roman" w:hAnsi="Times New Roman" w:cs="Times New Roman"/>
                <w:color w:val="000000"/>
                <w:sz w:val="22"/>
              </w:rPr>
              <w:t>【地方</w:t>
            </w:r>
            <w:r>
              <w:rPr>
                <w:rFonts w:hint="eastAsia" w:cs="Times New Roman"/>
                <w:color w:val="000000"/>
                <w:sz w:val="22"/>
                <w:lang w:eastAsia="zh-CN"/>
              </w:rPr>
              <w:t>政府规章</w:t>
            </w:r>
            <w:r>
              <w:rPr>
                <w:rFonts w:hint="default" w:ascii="Times New Roman" w:hAnsi="Times New Roman" w:cs="Times New Roman"/>
                <w:color w:val="000000"/>
                <w:sz w:val="22"/>
              </w:rPr>
              <w:t>】</w:t>
            </w:r>
            <w:r>
              <w:rPr>
                <w:rFonts w:hint="default" w:ascii="Times New Roman" w:hAnsi="Times New Roman" w:cs="Times New Roman"/>
                <w:sz w:val="24"/>
                <w:szCs w:val="24"/>
              </w:rPr>
              <w:t>《威海市污水排水管理办法》（2024年10月11日威海市人民政府令第81号公布）第二十四条</w:t>
            </w:r>
            <w:r>
              <w:rPr>
                <w:rFonts w:hint="eastAsia" w:cs="Times New Roman"/>
                <w:sz w:val="24"/>
                <w:szCs w:val="24"/>
                <w:lang w:eastAsia="zh-CN"/>
              </w:rPr>
              <w:t>：“</w:t>
            </w:r>
            <w:r>
              <w:rPr>
                <w:rFonts w:hint="default" w:ascii="Times New Roman" w:hAnsi="Times New Roman" w:cs="Times New Roman"/>
                <w:sz w:val="24"/>
                <w:szCs w:val="24"/>
              </w:rPr>
              <w:t>违反本办法规定，从事危及城镇污水排水设施安全活动的，由城镇污水排水主管部门责令停止违法行为，限期恢复原状或者采取其他补救措施，给予警告；逾期不采取补救措施或者造成严重后果的，对单位处10万元以上30万元以下罚款，对个人处2万元以上10万元以下罚款；造成损失的，依法承担赔偿责任；构成犯罪的，依法追究刑事责任。</w:t>
            </w:r>
            <w:r>
              <w:rPr>
                <w:rFonts w:hint="eastAsia" w:cs="Times New Roman"/>
                <w:sz w:val="24"/>
                <w:szCs w:val="24"/>
                <w:lang w:eastAsia="zh-CN"/>
              </w:rPr>
              <w:t>”</w:t>
            </w:r>
          </w:p>
        </w:tc>
        <w:tc>
          <w:tcPr>
            <w:tcW w:w="1170" w:type="dxa"/>
            <w:tcBorders>
              <w:top w:val="single" w:color="auto" w:sz="4" w:space="0"/>
              <w:left w:val="nil"/>
              <w:bottom w:val="single" w:color="auto" w:sz="4" w:space="0"/>
              <w:right w:val="single" w:color="auto" w:sz="4" w:space="0"/>
            </w:tcBorders>
            <w:noWrap w:val="0"/>
            <w:vAlign w:val="center"/>
          </w:tcPr>
          <w:p>
            <w:pPr>
              <w:jc w:val="center"/>
              <w:rPr>
                <w:rFonts w:hint="eastAsia" w:ascii="Times New Roman" w:hAnsi="Times New Roman" w:eastAsia="宋体" w:cs="Times New Roman"/>
                <w:sz w:val="24"/>
                <w:szCs w:val="24"/>
                <w:lang w:eastAsia="zh-CN"/>
              </w:rPr>
            </w:pPr>
            <w:r>
              <w:rPr>
                <w:rFonts w:hint="eastAsia" w:cs="Times New Roman"/>
                <w:sz w:val="24"/>
                <w:szCs w:val="24"/>
                <w:lang w:eastAsia="zh-CN"/>
              </w:rPr>
              <w:t>较轻</w:t>
            </w:r>
          </w:p>
        </w:tc>
        <w:tc>
          <w:tcPr>
            <w:tcW w:w="2385" w:type="dxa"/>
            <w:tcBorders>
              <w:top w:val="single" w:color="auto" w:sz="4" w:space="0"/>
              <w:left w:val="nil"/>
              <w:bottom w:val="single" w:color="auto" w:sz="4" w:space="0"/>
              <w:right w:val="single" w:color="auto" w:sz="4" w:space="0"/>
            </w:tcBorders>
            <w:noWrap w:val="0"/>
            <w:vAlign w:val="center"/>
          </w:tcPr>
          <w:p>
            <w:pPr>
              <w:widowControl/>
              <w:spacing w:line="400" w:lineRule="exact"/>
              <w:jc w:val="center"/>
              <w:rPr>
                <w:rFonts w:hint="eastAsia" w:ascii="Times New Roman" w:hAnsi="Times New Roman" w:eastAsia="宋体" w:cs="Times New Roman"/>
                <w:sz w:val="24"/>
                <w:szCs w:val="24"/>
                <w:lang w:eastAsia="zh-CN"/>
              </w:rPr>
            </w:pPr>
            <w:r>
              <w:rPr>
                <w:rFonts w:hint="default" w:ascii="Times New Roman" w:hAnsi="Times New Roman" w:cs="Times New Roman"/>
                <w:sz w:val="24"/>
                <w:szCs w:val="24"/>
              </w:rPr>
              <w:t>实施本违法行为，限期内采取补救措施，且未造成严重后果的</w:t>
            </w:r>
            <w:r>
              <w:rPr>
                <w:rFonts w:hint="eastAsia" w:cs="Times New Roman"/>
                <w:sz w:val="24"/>
                <w:szCs w:val="24"/>
                <w:lang w:eastAsia="zh-CN"/>
              </w:rPr>
              <w:t>。</w:t>
            </w:r>
          </w:p>
        </w:tc>
        <w:tc>
          <w:tcPr>
            <w:tcW w:w="3255" w:type="dxa"/>
            <w:tcBorders>
              <w:top w:val="single" w:color="auto" w:sz="4" w:space="0"/>
              <w:left w:val="nil"/>
              <w:bottom w:val="single" w:color="auto" w:sz="4" w:space="0"/>
              <w:right w:val="single" w:color="auto" w:sz="4" w:space="0"/>
            </w:tcBorders>
            <w:noWrap w:val="0"/>
            <w:vAlign w:val="center"/>
          </w:tcPr>
          <w:p>
            <w:pPr>
              <w:spacing w:line="280" w:lineRule="exact"/>
              <w:jc w:val="center"/>
              <w:rPr>
                <w:rFonts w:hint="eastAsia" w:ascii="Times New Roman" w:hAnsi="Times New Roman" w:eastAsia="宋体" w:cs="Times New Roman"/>
                <w:sz w:val="24"/>
                <w:szCs w:val="24"/>
                <w:lang w:eastAsia="zh-CN"/>
              </w:rPr>
            </w:pPr>
            <w:r>
              <w:rPr>
                <w:rFonts w:hint="default" w:ascii="Times New Roman" w:hAnsi="Times New Roman" w:cs="Times New Roman"/>
                <w:sz w:val="24"/>
                <w:szCs w:val="24"/>
              </w:rPr>
              <w:t>责令停止违法行为，限期恢复原状或者采取其他补救措施，给予警告</w:t>
            </w:r>
            <w:r>
              <w:rPr>
                <w:rFonts w:hint="eastAsia" w:cs="Times New Roman"/>
                <w:sz w:val="24"/>
                <w:szCs w:val="24"/>
                <w:lang w:eastAsia="zh-CN"/>
              </w:rPr>
              <w:t>。</w:t>
            </w:r>
          </w:p>
        </w:tc>
      </w:tr>
      <w:tr>
        <w:tblPrEx>
          <w:tblCellMar>
            <w:top w:w="0" w:type="dxa"/>
            <w:left w:w="108" w:type="dxa"/>
            <w:bottom w:w="0" w:type="dxa"/>
            <w:right w:w="108" w:type="dxa"/>
          </w:tblCellMar>
        </w:tblPrEx>
        <w:trPr>
          <w:trHeight w:val="1658" w:hRule="atLeast"/>
        </w:trPr>
        <w:tc>
          <w:tcPr>
            <w:tcW w:w="726" w:type="dxa"/>
            <w:vMerge w:val="continue"/>
            <w:tcBorders>
              <w:left w:val="single" w:color="auto" w:sz="4" w:space="0"/>
              <w:right w:val="single" w:color="auto" w:sz="4" w:space="0"/>
            </w:tcBorders>
            <w:noWrap w:val="0"/>
            <w:vAlign w:val="center"/>
          </w:tcPr>
          <w:p>
            <w:pPr>
              <w:widowControl/>
              <w:jc w:val="center"/>
              <w:rPr>
                <w:rFonts w:hint="default" w:ascii="Times New Roman" w:hAnsi="Times New Roman" w:eastAsia="宋体" w:cs="Times New Roman"/>
                <w:kern w:val="0"/>
                <w:sz w:val="24"/>
                <w:szCs w:val="24"/>
                <w:lang w:eastAsia="zh-CN"/>
              </w:rPr>
            </w:pPr>
          </w:p>
        </w:tc>
        <w:tc>
          <w:tcPr>
            <w:tcW w:w="1737" w:type="dxa"/>
            <w:vMerge w:val="continue"/>
            <w:tcBorders>
              <w:left w:val="single" w:color="auto" w:sz="4" w:space="0"/>
              <w:right w:val="single" w:color="auto" w:sz="4" w:space="0"/>
            </w:tcBorders>
            <w:noWrap w:val="0"/>
            <w:vAlign w:val="center"/>
          </w:tcPr>
          <w:p>
            <w:pPr>
              <w:widowControl/>
              <w:jc w:val="center"/>
              <w:rPr>
                <w:rFonts w:hint="default" w:ascii="Times New Roman" w:hAnsi="Times New Roman" w:cs="Times New Roman"/>
                <w:sz w:val="24"/>
                <w:szCs w:val="24"/>
              </w:rPr>
            </w:pPr>
          </w:p>
        </w:tc>
        <w:tc>
          <w:tcPr>
            <w:tcW w:w="5100" w:type="dxa"/>
            <w:vMerge w:val="continue"/>
            <w:tcBorders>
              <w:left w:val="single" w:color="auto" w:sz="4" w:space="0"/>
              <w:right w:val="single" w:color="auto" w:sz="4" w:space="0"/>
            </w:tcBorders>
            <w:noWrap w:val="0"/>
            <w:vAlign w:val="center"/>
          </w:tcPr>
          <w:p>
            <w:pPr>
              <w:widowControl/>
              <w:spacing w:line="400" w:lineRule="exact"/>
              <w:jc w:val="center"/>
              <w:rPr>
                <w:rFonts w:hint="eastAsia" w:ascii="Times New Roman" w:hAnsi="Times New Roman" w:eastAsia="宋体" w:cs="Times New Roman"/>
                <w:kern w:val="0"/>
                <w:sz w:val="24"/>
                <w:szCs w:val="24"/>
                <w:lang w:eastAsia="zh-CN"/>
              </w:rPr>
            </w:pPr>
          </w:p>
        </w:tc>
        <w:tc>
          <w:tcPr>
            <w:tcW w:w="1170" w:type="dxa"/>
            <w:tcBorders>
              <w:top w:val="single" w:color="auto" w:sz="4" w:space="0"/>
              <w:left w:val="nil"/>
              <w:bottom w:val="single" w:color="auto" w:sz="4" w:space="0"/>
              <w:right w:val="single" w:color="auto" w:sz="4" w:space="0"/>
            </w:tcBorders>
            <w:noWrap w:val="0"/>
            <w:vAlign w:val="center"/>
          </w:tcPr>
          <w:p>
            <w:pPr>
              <w:jc w:val="center"/>
              <w:rPr>
                <w:rFonts w:hint="default" w:ascii="Times New Roman" w:hAnsi="Times New Roman" w:cs="Times New Roman"/>
                <w:sz w:val="24"/>
                <w:szCs w:val="24"/>
              </w:rPr>
            </w:pPr>
            <w:r>
              <w:rPr>
                <w:rFonts w:hint="default" w:ascii="Times New Roman" w:hAnsi="Times New Roman" w:cs="Times New Roman"/>
                <w:sz w:val="24"/>
                <w:szCs w:val="24"/>
              </w:rPr>
              <w:t>一般</w:t>
            </w:r>
          </w:p>
        </w:tc>
        <w:tc>
          <w:tcPr>
            <w:tcW w:w="2385" w:type="dxa"/>
            <w:tcBorders>
              <w:top w:val="single" w:color="auto" w:sz="4" w:space="0"/>
              <w:left w:val="nil"/>
              <w:bottom w:val="single" w:color="auto" w:sz="4" w:space="0"/>
              <w:right w:val="single" w:color="auto" w:sz="4" w:space="0"/>
            </w:tcBorders>
            <w:noWrap w:val="0"/>
            <w:vAlign w:val="center"/>
          </w:tcPr>
          <w:p>
            <w:pPr>
              <w:widowControl/>
              <w:spacing w:line="400" w:lineRule="exact"/>
              <w:jc w:val="center"/>
              <w:rPr>
                <w:rFonts w:hint="eastAsia" w:ascii="Times New Roman" w:hAnsi="Times New Roman" w:eastAsia="宋体" w:cs="Times New Roman"/>
                <w:sz w:val="24"/>
                <w:szCs w:val="24"/>
                <w:lang w:eastAsia="zh-CN"/>
              </w:rPr>
            </w:pPr>
            <w:r>
              <w:rPr>
                <w:rFonts w:hint="default" w:ascii="Times New Roman" w:hAnsi="Times New Roman" w:cs="Times New Roman"/>
                <w:sz w:val="24"/>
                <w:szCs w:val="24"/>
              </w:rPr>
              <w:t>实施本违法行为，逾期不采取补救措施，但未造成严重后果的</w:t>
            </w:r>
            <w:r>
              <w:rPr>
                <w:rFonts w:hint="eastAsia" w:cs="Times New Roman"/>
                <w:sz w:val="24"/>
                <w:szCs w:val="24"/>
                <w:lang w:eastAsia="zh-CN"/>
              </w:rPr>
              <w:t>。</w:t>
            </w:r>
          </w:p>
        </w:tc>
        <w:tc>
          <w:tcPr>
            <w:tcW w:w="3255" w:type="dxa"/>
            <w:tcBorders>
              <w:top w:val="single" w:color="auto" w:sz="4" w:space="0"/>
              <w:left w:val="nil"/>
              <w:bottom w:val="single" w:color="auto" w:sz="4" w:space="0"/>
              <w:right w:val="single" w:color="auto" w:sz="4" w:space="0"/>
            </w:tcBorders>
            <w:noWrap w:val="0"/>
            <w:vAlign w:val="center"/>
          </w:tcPr>
          <w:p>
            <w:pPr>
              <w:spacing w:line="280" w:lineRule="exact"/>
              <w:jc w:val="both"/>
              <w:rPr>
                <w:rFonts w:hint="eastAsia" w:ascii="Times New Roman" w:hAnsi="Times New Roman" w:eastAsia="宋体" w:cs="Times New Roman"/>
                <w:sz w:val="24"/>
                <w:szCs w:val="24"/>
                <w:lang w:eastAsia="zh-CN"/>
              </w:rPr>
            </w:pPr>
            <w:r>
              <w:rPr>
                <w:rFonts w:hint="default" w:ascii="Times New Roman" w:hAnsi="Times New Roman" w:cs="Times New Roman"/>
                <w:sz w:val="24"/>
                <w:szCs w:val="24"/>
              </w:rPr>
              <w:t>责令停止违法行为，限期恢复原状或者采取其他补救措施，给予警告；对单位处10万元以上15万元以下罚款，对个人处2万元以上5万元以下罚款</w:t>
            </w:r>
            <w:r>
              <w:rPr>
                <w:rFonts w:hint="eastAsia" w:cs="Times New Roman"/>
                <w:sz w:val="24"/>
                <w:szCs w:val="24"/>
                <w:lang w:eastAsia="zh-CN"/>
              </w:rPr>
              <w:t>。</w:t>
            </w:r>
          </w:p>
        </w:tc>
      </w:tr>
      <w:tr>
        <w:tblPrEx>
          <w:tblCellMar>
            <w:top w:w="0" w:type="dxa"/>
            <w:left w:w="108" w:type="dxa"/>
            <w:bottom w:w="0" w:type="dxa"/>
            <w:right w:w="108" w:type="dxa"/>
          </w:tblCellMar>
        </w:tblPrEx>
        <w:trPr>
          <w:trHeight w:val="2066" w:hRule="atLeast"/>
        </w:trPr>
        <w:tc>
          <w:tcPr>
            <w:tcW w:w="726" w:type="dxa"/>
            <w:vMerge w:val="continue"/>
            <w:tcBorders>
              <w:left w:val="single" w:color="auto" w:sz="4" w:space="0"/>
              <w:right w:val="single" w:color="auto" w:sz="4" w:space="0"/>
            </w:tcBorders>
            <w:noWrap w:val="0"/>
            <w:vAlign w:val="center"/>
          </w:tcPr>
          <w:p>
            <w:pPr>
              <w:widowControl/>
              <w:jc w:val="center"/>
              <w:rPr>
                <w:rFonts w:hint="default" w:ascii="Times New Roman" w:hAnsi="Times New Roman" w:cs="Times New Roman"/>
                <w:kern w:val="0"/>
                <w:sz w:val="24"/>
                <w:szCs w:val="24"/>
              </w:rPr>
            </w:pPr>
          </w:p>
        </w:tc>
        <w:tc>
          <w:tcPr>
            <w:tcW w:w="1737" w:type="dxa"/>
            <w:vMerge w:val="continue"/>
            <w:tcBorders>
              <w:left w:val="single" w:color="auto" w:sz="4" w:space="0"/>
              <w:right w:val="single" w:color="auto" w:sz="4" w:space="0"/>
            </w:tcBorders>
            <w:noWrap w:val="0"/>
            <w:vAlign w:val="center"/>
          </w:tcPr>
          <w:p>
            <w:pPr>
              <w:widowControl/>
              <w:jc w:val="center"/>
              <w:rPr>
                <w:rFonts w:hint="default" w:ascii="Times New Roman" w:hAnsi="Times New Roman" w:cs="Times New Roman"/>
                <w:sz w:val="24"/>
                <w:szCs w:val="24"/>
              </w:rPr>
            </w:pPr>
          </w:p>
        </w:tc>
        <w:tc>
          <w:tcPr>
            <w:tcW w:w="5100" w:type="dxa"/>
            <w:vMerge w:val="continue"/>
            <w:tcBorders>
              <w:left w:val="single" w:color="auto" w:sz="4" w:space="0"/>
              <w:right w:val="single" w:color="auto" w:sz="4" w:space="0"/>
            </w:tcBorders>
            <w:noWrap w:val="0"/>
            <w:vAlign w:val="center"/>
          </w:tcPr>
          <w:p>
            <w:pPr>
              <w:widowControl/>
              <w:jc w:val="center"/>
              <w:rPr>
                <w:rFonts w:hint="default" w:ascii="Times New Roman" w:hAnsi="Times New Roman" w:cs="Times New Roman"/>
                <w:kern w:val="0"/>
                <w:sz w:val="24"/>
                <w:szCs w:val="24"/>
              </w:rPr>
            </w:pPr>
          </w:p>
        </w:tc>
        <w:tc>
          <w:tcPr>
            <w:tcW w:w="1170" w:type="dxa"/>
            <w:tcBorders>
              <w:top w:val="single" w:color="auto" w:sz="4" w:space="0"/>
              <w:left w:val="nil"/>
              <w:bottom w:val="single" w:color="auto" w:sz="4" w:space="0"/>
              <w:right w:val="single" w:color="auto" w:sz="4" w:space="0"/>
            </w:tcBorders>
            <w:noWrap w:val="0"/>
            <w:vAlign w:val="center"/>
          </w:tcPr>
          <w:p>
            <w:pPr>
              <w:jc w:val="center"/>
              <w:rPr>
                <w:rFonts w:hint="default" w:ascii="Times New Roman" w:hAnsi="Times New Roman" w:cs="Times New Roman"/>
                <w:sz w:val="24"/>
                <w:szCs w:val="24"/>
              </w:rPr>
            </w:pPr>
            <w:r>
              <w:rPr>
                <w:rFonts w:hint="default" w:ascii="Times New Roman" w:hAnsi="Times New Roman" w:cs="Times New Roman"/>
                <w:sz w:val="24"/>
                <w:szCs w:val="24"/>
              </w:rPr>
              <w:t>较重</w:t>
            </w:r>
          </w:p>
        </w:tc>
        <w:tc>
          <w:tcPr>
            <w:tcW w:w="2385" w:type="dxa"/>
            <w:tcBorders>
              <w:top w:val="single" w:color="auto" w:sz="4" w:space="0"/>
              <w:left w:val="nil"/>
              <w:bottom w:val="single" w:color="auto" w:sz="4" w:space="0"/>
              <w:right w:val="single" w:color="auto" w:sz="4" w:space="0"/>
            </w:tcBorders>
            <w:noWrap w:val="0"/>
            <w:vAlign w:val="center"/>
          </w:tcPr>
          <w:p>
            <w:pPr>
              <w:widowControl/>
              <w:spacing w:line="480" w:lineRule="exact"/>
              <w:jc w:val="center"/>
              <w:rPr>
                <w:rFonts w:hint="eastAsia" w:ascii="Times New Roman" w:hAnsi="Times New Roman" w:eastAsia="宋体" w:cs="Times New Roman"/>
                <w:kern w:val="0"/>
                <w:sz w:val="24"/>
                <w:szCs w:val="24"/>
                <w:lang w:eastAsia="zh-CN"/>
              </w:rPr>
            </w:pPr>
            <w:r>
              <w:rPr>
                <w:rFonts w:hint="default" w:ascii="Times New Roman" w:hAnsi="Times New Roman" w:cs="Times New Roman"/>
                <w:sz w:val="24"/>
                <w:szCs w:val="24"/>
              </w:rPr>
              <w:t>实施本违法行为，限期内采取补救措施，但造成严重后果的</w:t>
            </w:r>
            <w:r>
              <w:rPr>
                <w:rFonts w:hint="eastAsia" w:cs="Times New Roman"/>
                <w:sz w:val="24"/>
                <w:szCs w:val="24"/>
                <w:lang w:eastAsia="zh-CN"/>
              </w:rPr>
              <w:t>。</w:t>
            </w:r>
          </w:p>
        </w:tc>
        <w:tc>
          <w:tcPr>
            <w:tcW w:w="3255" w:type="dxa"/>
            <w:tcBorders>
              <w:top w:val="single" w:color="auto" w:sz="4" w:space="0"/>
              <w:left w:val="nil"/>
              <w:bottom w:val="single" w:color="auto" w:sz="4" w:space="0"/>
              <w:right w:val="single" w:color="auto" w:sz="4" w:space="0"/>
            </w:tcBorders>
            <w:noWrap w:val="0"/>
            <w:vAlign w:val="center"/>
          </w:tcPr>
          <w:p>
            <w:pPr>
              <w:spacing w:line="280" w:lineRule="exact"/>
              <w:jc w:val="both"/>
              <w:rPr>
                <w:rFonts w:hint="eastAsia" w:ascii="Times New Roman" w:hAnsi="Times New Roman" w:eastAsia="宋体" w:cs="Times New Roman"/>
                <w:sz w:val="24"/>
                <w:szCs w:val="24"/>
                <w:lang w:eastAsia="zh-CN"/>
              </w:rPr>
            </w:pPr>
            <w:r>
              <w:rPr>
                <w:rFonts w:hint="default" w:ascii="Times New Roman" w:hAnsi="Times New Roman" w:cs="Times New Roman"/>
                <w:sz w:val="24"/>
                <w:szCs w:val="24"/>
              </w:rPr>
              <w:t>责令停止违法行为，限期恢复原状或者采取其他补救措施，给予警告；对单位处15万元以上20万元以下罚款，对个人处5万元以上8万元以下罚款</w:t>
            </w:r>
            <w:r>
              <w:rPr>
                <w:rFonts w:hint="eastAsia" w:cs="Times New Roman"/>
                <w:sz w:val="24"/>
                <w:szCs w:val="24"/>
                <w:lang w:eastAsia="zh-CN"/>
              </w:rPr>
              <w:t>。</w:t>
            </w:r>
          </w:p>
        </w:tc>
      </w:tr>
      <w:tr>
        <w:tblPrEx>
          <w:tblCellMar>
            <w:top w:w="0" w:type="dxa"/>
            <w:left w:w="108" w:type="dxa"/>
            <w:bottom w:w="0" w:type="dxa"/>
            <w:right w:w="108" w:type="dxa"/>
          </w:tblCellMar>
        </w:tblPrEx>
        <w:trPr>
          <w:trHeight w:val="2521" w:hRule="atLeast"/>
        </w:trPr>
        <w:tc>
          <w:tcPr>
            <w:tcW w:w="726" w:type="dxa"/>
            <w:vMerge w:val="continue"/>
            <w:tcBorders>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kern w:val="0"/>
                <w:sz w:val="24"/>
                <w:szCs w:val="24"/>
              </w:rPr>
            </w:pPr>
          </w:p>
        </w:tc>
        <w:tc>
          <w:tcPr>
            <w:tcW w:w="1737" w:type="dxa"/>
            <w:vMerge w:val="continue"/>
            <w:tcBorders>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sz w:val="24"/>
                <w:szCs w:val="24"/>
              </w:rPr>
            </w:pPr>
          </w:p>
        </w:tc>
        <w:tc>
          <w:tcPr>
            <w:tcW w:w="5100" w:type="dxa"/>
            <w:vMerge w:val="continue"/>
            <w:tcBorders>
              <w:left w:val="single" w:color="auto" w:sz="4" w:space="0"/>
              <w:bottom w:val="single" w:color="auto" w:sz="4" w:space="0"/>
              <w:right w:val="single" w:color="auto" w:sz="4" w:space="0"/>
            </w:tcBorders>
            <w:noWrap w:val="0"/>
            <w:vAlign w:val="center"/>
          </w:tcPr>
          <w:p>
            <w:pPr>
              <w:widowControl/>
              <w:jc w:val="center"/>
              <w:rPr>
                <w:rFonts w:hint="default" w:ascii="Times New Roman" w:hAnsi="Times New Roman" w:cs="Times New Roman"/>
                <w:kern w:val="0"/>
                <w:sz w:val="24"/>
                <w:szCs w:val="24"/>
              </w:rPr>
            </w:pPr>
          </w:p>
        </w:tc>
        <w:tc>
          <w:tcPr>
            <w:tcW w:w="1170" w:type="dxa"/>
            <w:tcBorders>
              <w:top w:val="single" w:color="auto" w:sz="4" w:space="0"/>
              <w:left w:val="nil"/>
              <w:bottom w:val="single" w:color="auto" w:sz="4" w:space="0"/>
              <w:right w:val="single" w:color="auto" w:sz="4" w:space="0"/>
            </w:tcBorders>
            <w:noWrap w:val="0"/>
            <w:vAlign w:val="center"/>
          </w:tcPr>
          <w:p>
            <w:pPr>
              <w:jc w:val="center"/>
              <w:rPr>
                <w:rFonts w:hint="default" w:ascii="Times New Roman" w:hAnsi="Times New Roman" w:cs="Times New Roman"/>
                <w:sz w:val="24"/>
                <w:szCs w:val="24"/>
              </w:rPr>
            </w:pPr>
            <w:r>
              <w:rPr>
                <w:rFonts w:hint="default" w:ascii="Times New Roman" w:hAnsi="Times New Roman" w:cs="Times New Roman"/>
                <w:sz w:val="24"/>
                <w:szCs w:val="24"/>
              </w:rPr>
              <w:t>严重</w:t>
            </w:r>
          </w:p>
        </w:tc>
        <w:tc>
          <w:tcPr>
            <w:tcW w:w="2385" w:type="dxa"/>
            <w:tcBorders>
              <w:top w:val="single" w:color="auto" w:sz="4" w:space="0"/>
              <w:left w:val="nil"/>
              <w:bottom w:val="single" w:color="auto" w:sz="4" w:space="0"/>
              <w:right w:val="single" w:color="auto" w:sz="4" w:space="0"/>
            </w:tcBorders>
            <w:noWrap w:val="0"/>
            <w:vAlign w:val="center"/>
          </w:tcPr>
          <w:p>
            <w:pPr>
              <w:widowControl/>
              <w:spacing w:line="240" w:lineRule="atLeast"/>
              <w:jc w:val="center"/>
              <w:rPr>
                <w:rFonts w:hint="eastAsia" w:ascii="Times New Roman" w:hAnsi="Times New Roman" w:eastAsia="宋体" w:cs="Times New Roman"/>
                <w:sz w:val="24"/>
                <w:szCs w:val="24"/>
                <w:lang w:eastAsia="zh-CN"/>
              </w:rPr>
            </w:pPr>
            <w:r>
              <w:rPr>
                <w:rFonts w:hint="default" w:ascii="Times New Roman" w:hAnsi="Times New Roman" w:cs="Times New Roman"/>
                <w:sz w:val="24"/>
                <w:szCs w:val="24"/>
              </w:rPr>
              <w:t>实施本违法行为，逾期不采取补救措施，且造成严重后果的</w:t>
            </w:r>
            <w:r>
              <w:rPr>
                <w:rFonts w:hint="eastAsia" w:cs="Times New Roman"/>
                <w:sz w:val="24"/>
                <w:szCs w:val="24"/>
                <w:lang w:eastAsia="zh-CN"/>
              </w:rPr>
              <w:t>。</w:t>
            </w:r>
          </w:p>
        </w:tc>
        <w:tc>
          <w:tcPr>
            <w:tcW w:w="3255" w:type="dxa"/>
            <w:tcBorders>
              <w:top w:val="single" w:color="auto" w:sz="4" w:space="0"/>
              <w:left w:val="nil"/>
              <w:bottom w:val="single" w:color="auto" w:sz="4" w:space="0"/>
              <w:right w:val="single" w:color="auto" w:sz="4" w:space="0"/>
            </w:tcBorders>
            <w:noWrap w:val="0"/>
            <w:vAlign w:val="center"/>
          </w:tcPr>
          <w:p>
            <w:pPr>
              <w:spacing w:line="280" w:lineRule="exact"/>
              <w:jc w:val="both"/>
              <w:rPr>
                <w:rFonts w:hint="eastAsia" w:ascii="Times New Roman" w:hAnsi="Times New Roman" w:eastAsia="宋体" w:cs="Times New Roman"/>
                <w:sz w:val="24"/>
                <w:szCs w:val="24"/>
                <w:lang w:eastAsia="zh-CN"/>
              </w:rPr>
            </w:pPr>
            <w:r>
              <w:rPr>
                <w:rFonts w:hint="default" w:ascii="Times New Roman" w:hAnsi="Times New Roman" w:cs="Times New Roman"/>
                <w:sz w:val="24"/>
                <w:szCs w:val="24"/>
              </w:rPr>
              <w:t>责令停止违法行为，限期恢复原状或者采取其他补救措施，给予警告；对单位处20万元以上30万元以下罚款，对个人处8万元以上10万元以下罚款</w:t>
            </w:r>
            <w:r>
              <w:rPr>
                <w:rFonts w:hint="eastAsia" w:cs="Times New Roman"/>
                <w:sz w:val="24"/>
                <w:szCs w:val="24"/>
                <w:lang w:eastAsia="zh-CN"/>
              </w:rPr>
              <w:t>。</w:t>
            </w:r>
          </w:p>
        </w:tc>
      </w:tr>
    </w:tbl>
    <w:p>
      <w:pPr>
        <w:pBdr>
          <w:top w:val="none" w:color="auto" w:sz="0" w:space="1"/>
          <w:left w:val="none" w:color="auto" w:sz="0" w:space="0"/>
          <w:bottom w:val="none" w:color="auto" w:sz="0" w:space="1"/>
          <w:right w:val="none" w:color="auto" w:sz="0" w:space="0"/>
          <w:between w:val="none" w:color="auto" w:sz="0" w:space="0"/>
        </w:pBdr>
        <w:spacing w:line="240" w:lineRule="auto"/>
        <w:rPr>
          <w:rFonts w:hint="default" w:ascii="Times New Roman" w:hAnsi="Times New Roman" w:cs="Times New Roman"/>
          <w:sz w:val="30"/>
          <w:szCs w:val="30"/>
        </w:rPr>
      </w:pPr>
    </w:p>
    <w:sectPr>
      <w:pgSz w:w="16838" w:h="11906" w:orient="landscape"/>
      <w:pgMar w:top="1588" w:right="2098" w:bottom="1400" w:left="1701"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00007A87" w:usb1="8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altName w:val="方正仿宋_GBK"/>
    <w:panose1 w:val="02010609060101010101"/>
    <w:charset w:val="00"/>
    <w:family w:val="moder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false"/>
  <w:bordersDoNotSurroundFooter w:val="fals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1"/>
  <w:displayVerticalDrawingGridEvery w:val="1"/>
  <w:noPunctuationKerning w:val="true"/>
  <w:characterSpacingControl w:val="compressPunctuation"/>
  <w:doNotValidateAgainstSchema/>
  <w:doNotDemarcateInvalidXml/>
  <w:compat>
    <w:spaceForUL/>
    <w:balanceSingleByteDoubleByteWidth/>
    <w:doNotLeaveBackslashAlone/>
    <w:ulTrailSpace/>
    <w:doNotExpandShiftReturn/>
    <w:adjustLineHeightInTable/>
    <w:doNotBreakWrappedTables/>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MzOThlZWRiYTk0NGYzNjUwMjQyZjM0MWQ1ZDA3NjcifQ=="/>
    <w:docVar w:name="KSO_WPS_MARK_KEY" w:val="484aec5a-88b9-468b-8122-673d48daa1e2"/>
  </w:docVars>
  <w:rsids>
    <w:rsidRoot w:val="00172A27"/>
    <w:rsid w:val="00001405"/>
    <w:rsid w:val="00044483"/>
    <w:rsid w:val="00045C7E"/>
    <w:rsid w:val="00054FCB"/>
    <w:rsid w:val="000653BC"/>
    <w:rsid w:val="00067F19"/>
    <w:rsid w:val="00083A4C"/>
    <w:rsid w:val="00085139"/>
    <w:rsid w:val="000952A2"/>
    <w:rsid w:val="000A4D4C"/>
    <w:rsid w:val="000A7268"/>
    <w:rsid w:val="000F2B8B"/>
    <w:rsid w:val="000F6404"/>
    <w:rsid w:val="00104630"/>
    <w:rsid w:val="00107291"/>
    <w:rsid w:val="001135D7"/>
    <w:rsid w:val="0011481B"/>
    <w:rsid w:val="00114C13"/>
    <w:rsid w:val="001157C0"/>
    <w:rsid w:val="001170ED"/>
    <w:rsid w:val="00125B15"/>
    <w:rsid w:val="00126BC5"/>
    <w:rsid w:val="00135FE5"/>
    <w:rsid w:val="00141730"/>
    <w:rsid w:val="001422D0"/>
    <w:rsid w:val="00147A87"/>
    <w:rsid w:val="0015731C"/>
    <w:rsid w:val="001606BE"/>
    <w:rsid w:val="00164FA8"/>
    <w:rsid w:val="00180FE4"/>
    <w:rsid w:val="00190C6B"/>
    <w:rsid w:val="001933C2"/>
    <w:rsid w:val="00196B7D"/>
    <w:rsid w:val="0019768C"/>
    <w:rsid w:val="001A6A24"/>
    <w:rsid w:val="001C2B3A"/>
    <w:rsid w:val="001D2ACC"/>
    <w:rsid w:val="001D3D3D"/>
    <w:rsid w:val="001E0E80"/>
    <w:rsid w:val="001E1B82"/>
    <w:rsid w:val="001E6CD0"/>
    <w:rsid w:val="001E7754"/>
    <w:rsid w:val="001F0CE4"/>
    <w:rsid w:val="001F1CE2"/>
    <w:rsid w:val="001F43CB"/>
    <w:rsid w:val="002007BA"/>
    <w:rsid w:val="002040D5"/>
    <w:rsid w:val="002158F8"/>
    <w:rsid w:val="0024120D"/>
    <w:rsid w:val="002518F4"/>
    <w:rsid w:val="0025415B"/>
    <w:rsid w:val="00256A91"/>
    <w:rsid w:val="00257268"/>
    <w:rsid w:val="00273028"/>
    <w:rsid w:val="00282816"/>
    <w:rsid w:val="002856C8"/>
    <w:rsid w:val="0028771F"/>
    <w:rsid w:val="00294DF5"/>
    <w:rsid w:val="002953FE"/>
    <w:rsid w:val="00296BB4"/>
    <w:rsid w:val="002A08D8"/>
    <w:rsid w:val="002B1CD8"/>
    <w:rsid w:val="002B3863"/>
    <w:rsid w:val="002C43AE"/>
    <w:rsid w:val="002C7C8B"/>
    <w:rsid w:val="002D12C6"/>
    <w:rsid w:val="002D3BA8"/>
    <w:rsid w:val="002D46B0"/>
    <w:rsid w:val="0030230E"/>
    <w:rsid w:val="00303EE3"/>
    <w:rsid w:val="00304539"/>
    <w:rsid w:val="0030612F"/>
    <w:rsid w:val="00334C9A"/>
    <w:rsid w:val="00351C1A"/>
    <w:rsid w:val="00353E78"/>
    <w:rsid w:val="00355039"/>
    <w:rsid w:val="00363207"/>
    <w:rsid w:val="0037220D"/>
    <w:rsid w:val="003767F9"/>
    <w:rsid w:val="00384E23"/>
    <w:rsid w:val="00387437"/>
    <w:rsid w:val="003946EA"/>
    <w:rsid w:val="00394AC7"/>
    <w:rsid w:val="003A2F3A"/>
    <w:rsid w:val="003B2EB0"/>
    <w:rsid w:val="003B42C9"/>
    <w:rsid w:val="003B579C"/>
    <w:rsid w:val="003B6ACF"/>
    <w:rsid w:val="003C6B3E"/>
    <w:rsid w:val="003D564E"/>
    <w:rsid w:val="003D7A98"/>
    <w:rsid w:val="003E4545"/>
    <w:rsid w:val="003E524B"/>
    <w:rsid w:val="003F1933"/>
    <w:rsid w:val="003F399A"/>
    <w:rsid w:val="004050F0"/>
    <w:rsid w:val="00411BEB"/>
    <w:rsid w:val="00412AC3"/>
    <w:rsid w:val="00413A12"/>
    <w:rsid w:val="00420DCE"/>
    <w:rsid w:val="0042751F"/>
    <w:rsid w:val="00442713"/>
    <w:rsid w:val="0046561E"/>
    <w:rsid w:val="00476FB5"/>
    <w:rsid w:val="00481C86"/>
    <w:rsid w:val="00485ACE"/>
    <w:rsid w:val="00494C7D"/>
    <w:rsid w:val="004A2875"/>
    <w:rsid w:val="004A2EC2"/>
    <w:rsid w:val="004A770C"/>
    <w:rsid w:val="004B2ED2"/>
    <w:rsid w:val="004B71D3"/>
    <w:rsid w:val="004C1EFB"/>
    <w:rsid w:val="004D04E6"/>
    <w:rsid w:val="004D154F"/>
    <w:rsid w:val="004E5E93"/>
    <w:rsid w:val="0050160A"/>
    <w:rsid w:val="00501952"/>
    <w:rsid w:val="00502091"/>
    <w:rsid w:val="00502AF8"/>
    <w:rsid w:val="00504227"/>
    <w:rsid w:val="00507537"/>
    <w:rsid w:val="00512ACA"/>
    <w:rsid w:val="00520EDF"/>
    <w:rsid w:val="0052105F"/>
    <w:rsid w:val="005234DF"/>
    <w:rsid w:val="00532DD3"/>
    <w:rsid w:val="00535F74"/>
    <w:rsid w:val="00547557"/>
    <w:rsid w:val="00551814"/>
    <w:rsid w:val="005539CB"/>
    <w:rsid w:val="00560B29"/>
    <w:rsid w:val="00582DA1"/>
    <w:rsid w:val="00597933"/>
    <w:rsid w:val="005B556B"/>
    <w:rsid w:val="005B70FD"/>
    <w:rsid w:val="005C24CA"/>
    <w:rsid w:val="005C7B07"/>
    <w:rsid w:val="005E0220"/>
    <w:rsid w:val="005E560E"/>
    <w:rsid w:val="005E634D"/>
    <w:rsid w:val="005F1588"/>
    <w:rsid w:val="00602CBE"/>
    <w:rsid w:val="0060476B"/>
    <w:rsid w:val="00613A0E"/>
    <w:rsid w:val="006224C2"/>
    <w:rsid w:val="00623FDA"/>
    <w:rsid w:val="00631A26"/>
    <w:rsid w:val="00645AFC"/>
    <w:rsid w:val="006513E9"/>
    <w:rsid w:val="00663F6F"/>
    <w:rsid w:val="00673DC6"/>
    <w:rsid w:val="0069122A"/>
    <w:rsid w:val="00694662"/>
    <w:rsid w:val="006B008F"/>
    <w:rsid w:val="006B18F4"/>
    <w:rsid w:val="006B3C1A"/>
    <w:rsid w:val="006C2ADA"/>
    <w:rsid w:val="006C2B71"/>
    <w:rsid w:val="006C4D57"/>
    <w:rsid w:val="006D1B80"/>
    <w:rsid w:val="006D26D2"/>
    <w:rsid w:val="006D3F59"/>
    <w:rsid w:val="006D4256"/>
    <w:rsid w:val="006D4980"/>
    <w:rsid w:val="006D6DA9"/>
    <w:rsid w:val="006E1051"/>
    <w:rsid w:val="006E351F"/>
    <w:rsid w:val="006F1EC0"/>
    <w:rsid w:val="00702043"/>
    <w:rsid w:val="007101F0"/>
    <w:rsid w:val="007107B5"/>
    <w:rsid w:val="007171BC"/>
    <w:rsid w:val="00721FB8"/>
    <w:rsid w:val="00724F2A"/>
    <w:rsid w:val="007277D9"/>
    <w:rsid w:val="00730A1B"/>
    <w:rsid w:val="00731670"/>
    <w:rsid w:val="007427F1"/>
    <w:rsid w:val="00745A5F"/>
    <w:rsid w:val="00745D85"/>
    <w:rsid w:val="007509D4"/>
    <w:rsid w:val="0075271C"/>
    <w:rsid w:val="00755B84"/>
    <w:rsid w:val="00756CF4"/>
    <w:rsid w:val="0076457A"/>
    <w:rsid w:val="0077112B"/>
    <w:rsid w:val="00786099"/>
    <w:rsid w:val="007A494C"/>
    <w:rsid w:val="007B0B57"/>
    <w:rsid w:val="007B5682"/>
    <w:rsid w:val="007B5AE7"/>
    <w:rsid w:val="007C3ACA"/>
    <w:rsid w:val="007D4C1F"/>
    <w:rsid w:val="007D63E3"/>
    <w:rsid w:val="007E4AC7"/>
    <w:rsid w:val="007E6E6B"/>
    <w:rsid w:val="00832BCF"/>
    <w:rsid w:val="00833F8E"/>
    <w:rsid w:val="00840747"/>
    <w:rsid w:val="00852627"/>
    <w:rsid w:val="00856F6C"/>
    <w:rsid w:val="0086436D"/>
    <w:rsid w:val="00866D2E"/>
    <w:rsid w:val="00874D1A"/>
    <w:rsid w:val="00877710"/>
    <w:rsid w:val="0088181F"/>
    <w:rsid w:val="008850BB"/>
    <w:rsid w:val="008962DA"/>
    <w:rsid w:val="008A1939"/>
    <w:rsid w:val="008B6A34"/>
    <w:rsid w:val="008C494B"/>
    <w:rsid w:val="008C6061"/>
    <w:rsid w:val="008D2037"/>
    <w:rsid w:val="008D36B6"/>
    <w:rsid w:val="008F13B7"/>
    <w:rsid w:val="008F246C"/>
    <w:rsid w:val="00906E99"/>
    <w:rsid w:val="00922289"/>
    <w:rsid w:val="00925271"/>
    <w:rsid w:val="00933BBA"/>
    <w:rsid w:val="00956894"/>
    <w:rsid w:val="00973A83"/>
    <w:rsid w:val="00984924"/>
    <w:rsid w:val="009A0289"/>
    <w:rsid w:val="009B237B"/>
    <w:rsid w:val="009B25F2"/>
    <w:rsid w:val="009B757F"/>
    <w:rsid w:val="009B7BEA"/>
    <w:rsid w:val="009D4192"/>
    <w:rsid w:val="009D47A7"/>
    <w:rsid w:val="009E396C"/>
    <w:rsid w:val="009E6BDF"/>
    <w:rsid w:val="009F31EE"/>
    <w:rsid w:val="00A053BE"/>
    <w:rsid w:val="00A1221F"/>
    <w:rsid w:val="00A13B13"/>
    <w:rsid w:val="00A22934"/>
    <w:rsid w:val="00A35350"/>
    <w:rsid w:val="00A3552D"/>
    <w:rsid w:val="00A370AC"/>
    <w:rsid w:val="00A4100F"/>
    <w:rsid w:val="00A45171"/>
    <w:rsid w:val="00A46360"/>
    <w:rsid w:val="00A47258"/>
    <w:rsid w:val="00A665A8"/>
    <w:rsid w:val="00A677E2"/>
    <w:rsid w:val="00A820B4"/>
    <w:rsid w:val="00A83BBA"/>
    <w:rsid w:val="00A87221"/>
    <w:rsid w:val="00A96412"/>
    <w:rsid w:val="00A97BD0"/>
    <w:rsid w:val="00AA08D9"/>
    <w:rsid w:val="00AC2761"/>
    <w:rsid w:val="00AC29B3"/>
    <w:rsid w:val="00AC4DEF"/>
    <w:rsid w:val="00AC547A"/>
    <w:rsid w:val="00AD7CBD"/>
    <w:rsid w:val="00AF5C71"/>
    <w:rsid w:val="00AF5D4F"/>
    <w:rsid w:val="00B064B6"/>
    <w:rsid w:val="00B17474"/>
    <w:rsid w:val="00B17E2D"/>
    <w:rsid w:val="00B248C8"/>
    <w:rsid w:val="00B341FF"/>
    <w:rsid w:val="00B42CDA"/>
    <w:rsid w:val="00B43A0F"/>
    <w:rsid w:val="00B44A1D"/>
    <w:rsid w:val="00B62653"/>
    <w:rsid w:val="00B63E5F"/>
    <w:rsid w:val="00B63EAC"/>
    <w:rsid w:val="00B726ED"/>
    <w:rsid w:val="00B76417"/>
    <w:rsid w:val="00B7768D"/>
    <w:rsid w:val="00B95C6B"/>
    <w:rsid w:val="00B97821"/>
    <w:rsid w:val="00BA0732"/>
    <w:rsid w:val="00BB22B0"/>
    <w:rsid w:val="00BB3395"/>
    <w:rsid w:val="00BB3A4F"/>
    <w:rsid w:val="00BE171B"/>
    <w:rsid w:val="00BE5AB2"/>
    <w:rsid w:val="00BF6011"/>
    <w:rsid w:val="00BF6D88"/>
    <w:rsid w:val="00C052DC"/>
    <w:rsid w:val="00C06A09"/>
    <w:rsid w:val="00C17299"/>
    <w:rsid w:val="00C20DA0"/>
    <w:rsid w:val="00C56DEC"/>
    <w:rsid w:val="00C575A5"/>
    <w:rsid w:val="00C84590"/>
    <w:rsid w:val="00CA1246"/>
    <w:rsid w:val="00CA1822"/>
    <w:rsid w:val="00CB24F9"/>
    <w:rsid w:val="00CC5855"/>
    <w:rsid w:val="00CD1225"/>
    <w:rsid w:val="00CE17F2"/>
    <w:rsid w:val="00CE74E3"/>
    <w:rsid w:val="00CF6DA4"/>
    <w:rsid w:val="00D00F63"/>
    <w:rsid w:val="00D037C7"/>
    <w:rsid w:val="00D159A4"/>
    <w:rsid w:val="00D16303"/>
    <w:rsid w:val="00D17B9C"/>
    <w:rsid w:val="00D34D84"/>
    <w:rsid w:val="00D3753A"/>
    <w:rsid w:val="00D4102B"/>
    <w:rsid w:val="00D47097"/>
    <w:rsid w:val="00D50A86"/>
    <w:rsid w:val="00D72AB4"/>
    <w:rsid w:val="00D76C8E"/>
    <w:rsid w:val="00D86543"/>
    <w:rsid w:val="00D86903"/>
    <w:rsid w:val="00D91E31"/>
    <w:rsid w:val="00D91FBD"/>
    <w:rsid w:val="00D9422B"/>
    <w:rsid w:val="00D95286"/>
    <w:rsid w:val="00DA2E09"/>
    <w:rsid w:val="00DA3BB2"/>
    <w:rsid w:val="00DB1DE2"/>
    <w:rsid w:val="00DB7801"/>
    <w:rsid w:val="00DC0F82"/>
    <w:rsid w:val="00DC22A4"/>
    <w:rsid w:val="00DC30FB"/>
    <w:rsid w:val="00DC3BA3"/>
    <w:rsid w:val="00DC48F3"/>
    <w:rsid w:val="00DE1846"/>
    <w:rsid w:val="00DE3649"/>
    <w:rsid w:val="00DF2A5F"/>
    <w:rsid w:val="00DF40BE"/>
    <w:rsid w:val="00DF522A"/>
    <w:rsid w:val="00E020E9"/>
    <w:rsid w:val="00E03275"/>
    <w:rsid w:val="00E11B82"/>
    <w:rsid w:val="00E21D73"/>
    <w:rsid w:val="00E23018"/>
    <w:rsid w:val="00E25341"/>
    <w:rsid w:val="00E2572E"/>
    <w:rsid w:val="00E25DDA"/>
    <w:rsid w:val="00E338D8"/>
    <w:rsid w:val="00E453C5"/>
    <w:rsid w:val="00E470E5"/>
    <w:rsid w:val="00E52516"/>
    <w:rsid w:val="00E567AB"/>
    <w:rsid w:val="00E654E7"/>
    <w:rsid w:val="00E816BF"/>
    <w:rsid w:val="00E93CC3"/>
    <w:rsid w:val="00EA41CE"/>
    <w:rsid w:val="00EA579F"/>
    <w:rsid w:val="00ED5FF8"/>
    <w:rsid w:val="00ED65F3"/>
    <w:rsid w:val="00EE5415"/>
    <w:rsid w:val="00EE5A48"/>
    <w:rsid w:val="00EE5BCC"/>
    <w:rsid w:val="00EF44C2"/>
    <w:rsid w:val="00F1213B"/>
    <w:rsid w:val="00F2195C"/>
    <w:rsid w:val="00F25E2B"/>
    <w:rsid w:val="00F463B3"/>
    <w:rsid w:val="00F47BF5"/>
    <w:rsid w:val="00F54CD9"/>
    <w:rsid w:val="00F64E23"/>
    <w:rsid w:val="00F6519D"/>
    <w:rsid w:val="00F83479"/>
    <w:rsid w:val="00F834B3"/>
    <w:rsid w:val="00F90960"/>
    <w:rsid w:val="00F94F3C"/>
    <w:rsid w:val="00F95883"/>
    <w:rsid w:val="00F96902"/>
    <w:rsid w:val="00F969E8"/>
    <w:rsid w:val="00FA2B78"/>
    <w:rsid w:val="00FA57B6"/>
    <w:rsid w:val="00FB0768"/>
    <w:rsid w:val="00FC1202"/>
    <w:rsid w:val="00FD73F6"/>
    <w:rsid w:val="00FE23FE"/>
    <w:rsid w:val="00FE2DE3"/>
    <w:rsid w:val="00FE58E5"/>
    <w:rsid w:val="00FF033C"/>
    <w:rsid w:val="00FF3232"/>
    <w:rsid w:val="00FF512D"/>
    <w:rsid w:val="00FF6D9A"/>
    <w:rsid w:val="03BD5B54"/>
    <w:rsid w:val="049F26BD"/>
    <w:rsid w:val="079F270D"/>
    <w:rsid w:val="0A3116B2"/>
    <w:rsid w:val="0A742266"/>
    <w:rsid w:val="0F470FB2"/>
    <w:rsid w:val="0FFC7565"/>
    <w:rsid w:val="0FFF2A89"/>
    <w:rsid w:val="10976BC7"/>
    <w:rsid w:val="12DF5AEC"/>
    <w:rsid w:val="19DB8C63"/>
    <w:rsid w:val="1AAE8DA3"/>
    <w:rsid w:val="1AC410A2"/>
    <w:rsid w:val="1B0FDEFB"/>
    <w:rsid w:val="1B2A2987"/>
    <w:rsid w:val="1BB65DA3"/>
    <w:rsid w:val="1BEFD30B"/>
    <w:rsid w:val="1ECFB628"/>
    <w:rsid w:val="1FEE17C7"/>
    <w:rsid w:val="21853CA1"/>
    <w:rsid w:val="277D2374"/>
    <w:rsid w:val="295F5F95"/>
    <w:rsid w:val="2A510D8A"/>
    <w:rsid w:val="2BB41E2F"/>
    <w:rsid w:val="2D0F0F1C"/>
    <w:rsid w:val="2FF94F67"/>
    <w:rsid w:val="301B1AF8"/>
    <w:rsid w:val="31657442"/>
    <w:rsid w:val="32BA5D61"/>
    <w:rsid w:val="337F190F"/>
    <w:rsid w:val="3712F43F"/>
    <w:rsid w:val="3735000C"/>
    <w:rsid w:val="37A77D83"/>
    <w:rsid w:val="380F7B40"/>
    <w:rsid w:val="393D459A"/>
    <w:rsid w:val="3ABA45EE"/>
    <w:rsid w:val="3DD86C70"/>
    <w:rsid w:val="3E7B0A95"/>
    <w:rsid w:val="3F7F195A"/>
    <w:rsid w:val="3F7FFA5B"/>
    <w:rsid w:val="3F9FD0F0"/>
    <w:rsid w:val="3FB64943"/>
    <w:rsid w:val="3FE55835"/>
    <w:rsid w:val="3FFF816A"/>
    <w:rsid w:val="40C1593E"/>
    <w:rsid w:val="42DA62C4"/>
    <w:rsid w:val="42EA654E"/>
    <w:rsid w:val="43DE1B80"/>
    <w:rsid w:val="443B2762"/>
    <w:rsid w:val="461E1D31"/>
    <w:rsid w:val="46FF168F"/>
    <w:rsid w:val="4A1F337E"/>
    <w:rsid w:val="4BC990F8"/>
    <w:rsid w:val="4BFD7325"/>
    <w:rsid w:val="4C760559"/>
    <w:rsid w:val="4CF5316B"/>
    <w:rsid w:val="4DA87AF8"/>
    <w:rsid w:val="4F825605"/>
    <w:rsid w:val="4FBF68B0"/>
    <w:rsid w:val="4FFFC7C1"/>
    <w:rsid w:val="4FFFD049"/>
    <w:rsid w:val="51B02982"/>
    <w:rsid w:val="52507C4C"/>
    <w:rsid w:val="529D53E8"/>
    <w:rsid w:val="55EF31F4"/>
    <w:rsid w:val="569FD759"/>
    <w:rsid w:val="56DE45AB"/>
    <w:rsid w:val="56EFC37F"/>
    <w:rsid w:val="56FE0DF7"/>
    <w:rsid w:val="57FF62AA"/>
    <w:rsid w:val="58594097"/>
    <w:rsid w:val="58A83A78"/>
    <w:rsid w:val="59DBB834"/>
    <w:rsid w:val="5A3701ED"/>
    <w:rsid w:val="5AB31B4A"/>
    <w:rsid w:val="5AB77D28"/>
    <w:rsid w:val="5B065A16"/>
    <w:rsid w:val="5B1B4565"/>
    <w:rsid w:val="5BAEFC50"/>
    <w:rsid w:val="5BBA54F9"/>
    <w:rsid w:val="5DEB0670"/>
    <w:rsid w:val="5E4B7AC2"/>
    <w:rsid w:val="5ECF9E8D"/>
    <w:rsid w:val="5F77253C"/>
    <w:rsid w:val="5F7CADDD"/>
    <w:rsid w:val="5FBDD425"/>
    <w:rsid w:val="5FFC786D"/>
    <w:rsid w:val="5FFF60ED"/>
    <w:rsid w:val="5FFFF66B"/>
    <w:rsid w:val="607F6D4A"/>
    <w:rsid w:val="61CF6B74"/>
    <w:rsid w:val="62D01CBE"/>
    <w:rsid w:val="6353AE48"/>
    <w:rsid w:val="667CE7F5"/>
    <w:rsid w:val="66B280C6"/>
    <w:rsid w:val="67FF4DDF"/>
    <w:rsid w:val="68E274D6"/>
    <w:rsid w:val="68EC40C9"/>
    <w:rsid w:val="69BA2E50"/>
    <w:rsid w:val="6BBF90D9"/>
    <w:rsid w:val="6BF65BB6"/>
    <w:rsid w:val="6BFE0627"/>
    <w:rsid w:val="6CE92A34"/>
    <w:rsid w:val="6D1B21B5"/>
    <w:rsid w:val="6D9C17EF"/>
    <w:rsid w:val="6DF3D2E6"/>
    <w:rsid w:val="6ED9596D"/>
    <w:rsid w:val="6FBD54F2"/>
    <w:rsid w:val="70CE1EBC"/>
    <w:rsid w:val="71714933"/>
    <w:rsid w:val="72364F2F"/>
    <w:rsid w:val="727FC131"/>
    <w:rsid w:val="73E230FD"/>
    <w:rsid w:val="756F394F"/>
    <w:rsid w:val="778DE460"/>
    <w:rsid w:val="77950287"/>
    <w:rsid w:val="77BFC33B"/>
    <w:rsid w:val="78962F8B"/>
    <w:rsid w:val="79BD38E9"/>
    <w:rsid w:val="7A9B2D48"/>
    <w:rsid w:val="7B49D011"/>
    <w:rsid w:val="7B6E48E3"/>
    <w:rsid w:val="7B78462F"/>
    <w:rsid w:val="7BBF8855"/>
    <w:rsid w:val="7BF7E598"/>
    <w:rsid w:val="7BFF7291"/>
    <w:rsid w:val="7C5F1B0B"/>
    <w:rsid w:val="7CA4F04F"/>
    <w:rsid w:val="7CDE19C1"/>
    <w:rsid w:val="7D4869FB"/>
    <w:rsid w:val="7D7D1EAF"/>
    <w:rsid w:val="7D7DDE42"/>
    <w:rsid w:val="7D87C7DA"/>
    <w:rsid w:val="7DE7D4F9"/>
    <w:rsid w:val="7E7F0ADA"/>
    <w:rsid w:val="7EAF21FB"/>
    <w:rsid w:val="7FB7169D"/>
    <w:rsid w:val="7FB72E6F"/>
    <w:rsid w:val="7FBF6B5D"/>
    <w:rsid w:val="7FCB6DE4"/>
    <w:rsid w:val="7FD5B33C"/>
    <w:rsid w:val="7FDBC889"/>
    <w:rsid w:val="7FF51CE6"/>
    <w:rsid w:val="7FF9BF64"/>
    <w:rsid w:val="7FFB0D0D"/>
    <w:rsid w:val="7FFEACB3"/>
    <w:rsid w:val="7FFFA517"/>
    <w:rsid w:val="7FFFC229"/>
    <w:rsid w:val="8FAF5401"/>
    <w:rsid w:val="939FDB3B"/>
    <w:rsid w:val="97F26CB2"/>
    <w:rsid w:val="9FAF85C3"/>
    <w:rsid w:val="9FFC5A08"/>
    <w:rsid w:val="9FFD97C4"/>
    <w:rsid w:val="A7670E0E"/>
    <w:rsid w:val="A97B0B78"/>
    <w:rsid w:val="AEEDA4C3"/>
    <w:rsid w:val="AFEFF847"/>
    <w:rsid w:val="B35F1B50"/>
    <w:rsid w:val="B4FF14B3"/>
    <w:rsid w:val="B76D3965"/>
    <w:rsid w:val="BAEBB1D8"/>
    <w:rsid w:val="BBDB8F6E"/>
    <w:rsid w:val="BBE3336C"/>
    <w:rsid w:val="BCBBBB26"/>
    <w:rsid w:val="BD6BDF42"/>
    <w:rsid w:val="BEFBB1C1"/>
    <w:rsid w:val="BF75B4A4"/>
    <w:rsid w:val="BF7B8520"/>
    <w:rsid w:val="BFB91CCF"/>
    <w:rsid w:val="BFBE5BA5"/>
    <w:rsid w:val="C31F2D82"/>
    <w:rsid w:val="C7DBB738"/>
    <w:rsid w:val="CD5EE83F"/>
    <w:rsid w:val="CDD533F4"/>
    <w:rsid w:val="D4E8866D"/>
    <w:rsid w:val="D677F54E"/>
    <w:rsid w:val="D7F380D5"/>
    <w:rsid w:val="DA75B171"/>
    <w:rsid w:val="DABF1644"/>
    <w:rsid w:val="DBFB77D5"/>
    <w:rsid w:val="DD3EFC74"/>
    <w:rsid w:val="DF6FDA54"/>
    <w:rsid w:val="DFBF8E55"/>
    <w:rsid w:val="DFCA5D29"/>
    <w:rsid w:val="DFFB0C80"/>
    <w:rsid w:val="E7BFBA2D"/>
    <w:rsid w:val="E8FB4B6F"/>
    <w:rsid w:val="E9E4D7A8"/>
    <w:rsid w:val="EA8B9716"/>
    <w:rsid w:val="EBAC0C29"/>
    <w:rsid w:val="EBBFD462"/>
    <w:rsid w:val="EBFF9EA4"/>
    <w:rsid w:val="ECDD6E52"/>
    <w:rsid w:val="EDFDB44C"/>
    <w:rsid w:val="EE5EBF26"/>
    <w:rsid w:val="EE7F2E5B"/>
    <w:rsid w:val="EEC70CA0"/>
    <w:rsid w:val="EEF65913"/>
    <w:rsid w:val="EEF78B13"/>
    <w:rsid w:val="EF5F4754"/>
    <w:rsid w:val="EF6D566F"/>
    <w:rsid w:val="EF6DB4B8"/>
    <w:rsid w:val="EF6E0AD9"/>
    <w:rsid w:val="EFF712C8"/>
    <w:rsid w:val="F4CD39EF"/>
    <w:rsid w:val="F57FF0F3"/>
    <w:rsid w:val="F59F6A5F"/>
    <w:rsid w:val="F5ED9C15"/>
    <w:rsid w:val="F69A41AF"/>
    <w:rsid w:val="F77DFF77"/>
    <w:rsid w:val="F7AF6087"/>
    <w:rsid w:val="F8D3FEA3"/>
    <w:rsid w:val="FA298A5E"/>
    <w:rsid w:val="FAFDF8DC"/>
    <w:rsid w:val="FB6B9D9B"/>
    <w:rsid w:val="FB76B534"/>
    <w:rsid w:val="FBAFC40E"/>
    <w:rsid w:val="FBD793D2"/>
    <w:rsid w:val="FBEBEDED"/>
    <w:rsid w:val="FBF74472"/>
    <w:rsid w:val="FBFE6E2B"/>
    <w:rsid w:val="FC7B7B11"/>
    <w:rsid w:val="FCBD9BE1"/>
    <w:rsid w:val="FCDF9643"/>
    <w:rsid w:val="FCFCDAE3"/>
    <w:rsid w:val="FCFF5874"/>
    <w:rsid w:val="FDD6B446"/>
    <w:rsid w:val="FDEFD072"/>
    <w:rsid w:val="FDF7249C"/>
    <w:rsid w:val="FDFF6EB0"/>
    <w:rsid w:val="FE1F9BD3"/>
    <w:rsid w:val="FEA72C51"/>
    <w:rsid w:val="FEEC2BC1"/>
    <w:rsid w:val="FF1D1E41"/>
    <w:rsid w:val="FF7D02CA"/>
    <w:rsid w:val="FF92DA38"/>
    <w:rsid w:val="FF9700F8"/>
    <w:rsid w:val="FFBBF808"/>
    <w:rsid w:val="FFBD5DCA"/>
    <w:rsid w:val="FFBF97D8"/>
    <w:rsid w:val="FFDF261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9">
    <w:name w:val="Default Paragraph Font"/>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Balloon Text"/>
    <w:basedOn w:val="1"/>
    <w:semiHidden/>
    <w:qFormat/>
    <w:uiPriority w:val="0"/>
    <w:rPr>
      <w:sz w:val="18"/>
      <w:szCs w:val="18"/>
    </w:r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6">
    <w:name w:val="Body Text 2"/>
    <w:basedOn w:val="1"/>
    <w:next w:val="1"/>
    <w:qFormat/>
    <w:uiPriority w:val="0"/>
    <w:pPr>
      <w:spacing w:after="120" w:line="480" w:lineRule="auto"/>
    </w:pPr>
    <w:rPr>
      <w:rFonts w:ascii="宋体" w:hAnsi="宋体"/>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0">
    <w:name w:val="Strong"/>
    <w:basedOn w:val="9"/>
    <w:qFormat/>
    <w:uiPriority w:val="0"/>
    <w:rPr>
      <w:b/>
    </w:rPr>
  </w:style>
  <w:style w:type="character" w:styleId="11">
    <w:name w:val="page number"/>
    <w:basedOn w:val="9"/>
    <w:qFormat/>
    <w:uiPriority w:val="0"/>
  </w:style>
  <w:style w:type="paragraph" w:styleId="12">
    <w:name w:val="List Paragraph"/>
    <w:basedOn w:val="1"/>
    <w:qFormat/>
    <w:uiPriority w:val="0"/>
    <w:pPr>
      <w:ind w:firstLine="420" w:firstLineChars="200"/>
    </w:pPr>
    <w:rPr>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shuili</Company>
  <Pages>7</Pages>
  <Words>305</Words>
  <Characters>1742</Characters>
  <Lines>14</Lines>
  <Paragraphs>4</Paragraphs>
  <TotalTime>6</TotalTime>
  <ScaleCrop>false</ScaleCrop>
  <LinksUpToDate>false</LinksUpToDate>
  <CharactersWithSpaces>2043</CharactersWithSpaces>
  <Application>WPS Office_11.8.2.9980_F1E327BC-269C-435d-A152-05C5408002CA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2019-07-04T19:13:00Z</dcterms:created>
  <dc:creator>cwx</dc:creator>
  <cp:lastModifiedBy>user</cp:lastModifiedBy>
  <cp:lastPrinted>2020-03-09T17:31:00Z</cp:lastPrinted>
  <dcterms:modified xsi:type="dcterms:W3CDTF">2026-07-20T16:44:51Z</dcterms:modified>
  <dc:title>威水字[2004]3号                   签发人:马庆瑞</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y fmtid="{D5CDD505-2E9C-101B-9397-08002B2CF9AE}" pid="3" name="ICV">
    <vt:lpwstr>FAC3B50AC49E4BE4BF5AEF6EC26091F6</vt:lpwstr>
  </property>
</Properties>
</file>