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782014">
      <w:pPr>
        <w:widowControl/>
        <w:kinsoku w:val="0"/>
        <w:autoSpaceDE w:val="0"/>
        <w:autoSpaceDN w:val="0"/>
        <w:adjustRightInd w:val="0"/>
        <w:snapToGrid w:val="0"/>
        <w:spacing w:line="458" w:lineRule="exact"/>
        <w:jc w:val="center"/>
        <w:textAlignment w:val="baseline"/>
        <w:rPr>
          <w:rFonts w:hint="eastAsia" w:ascii="宋体" w:hAnsi="宋体" w:eastAsia="宋体" w:cs="宋体"/>
          <w:b/>
          <w:bCs/>
          <w:snapToGrid w:val="0"/>
          <w:color w:val="000000"/>
          <w:spacing w:val="5"/>
          <w:position w:val="-2"/>
          <w:sz w:val="41"/>
          <w:szCs w:val="41"/>
          <w:lang w:val="en-US" w:eastAsia="zh-CN" w:bidi="ar-SA"/>
        </w:rPr>
      </w:pPr>
    </w:p>
    <w:p w14:paraId="70387992">
      <w:pPr>
        <w:widowControl/>
        <w:kinsoku w:val="0"/>
        <w:autoSpaceDE w:val="0"/>
        <w:autoSpaceDN w:val="0"/>
        <w:adjustRightInd w:val="0"/>
        <w:snapToGrid w:val="0"/>
        <w:spacing w:line="458" w:lineRule="exact"/>
        <w:jc w:val="center"/>
        <w:textAlignment w:val="baseline"/>
        <w:rPr>
          <w:rFonts w:hint="eastAsia" w:ascii="宋体" w:hAnsi="宋体" w:eastAsia="宋体" w:cs="宋体"/>
          <w:b/>
          <w:bCs/>
          <w:snapToGrid w:val="0"/>
          <w:color w:val="000000"/>
          <w:spacing w:val="5"/>
          <w:position w:val="-2"/>
          <w:sz w:val="41"/>
          <w:szCs w:val="41"/>
          <w:lang w:val="en-US" w:eastAsia="zh-CN" w:bidi="ar-SA"/>
        </w:rPr>
      </w:pPr>
      <w:r>
        <w:rPr>
          <w:rFonts w:hint="eastAsia" w:ascii="宋体" w:hAnsi="宋体" w:eastAsia="宋体" w:cs="宋体"/>
          <w:b/>
          <w:bCs/>
          <w:snapToGrid w:val="0"/>
          <w:color w:val="000000"/>
          <w:spacing w:val="5"/>
          <w:position w:val="-2"/>
          <w:sz w:val="41"/>
          <w:szCs w:val="41"/>
          <w:lang w:val="en-US" w:eastAsia="zh-CN" w:bidi="ar-SA"/>
        </w:rPr>
        <w:t>威海市用水权收储交易管理办法（试行）</w:t>
      </w:r>
    </w:p>
    <w:p w14:paraId="663757E6">
      <w:pPr>
        <w:widowControl/>
        <w:kinsoku w:val="0"/>
        <w:autoSpaceDE w:val="0"/>
        <w:autoSpaceDN w:val="0"/>
        <w:adjustRightInd w:val="0"/>
        <w:snapToGrid w:val="0"/>
        <w:spacing w:line="458" w:lineRule="exact"/>
        <w:jc w:val="center"/>
        <w:textAlignment w:val="baseline"/>
        <w:rPr>
          <w:rFonts w:hint="eastAsia" w:ascii="宋体" w:hAnsi="宋体" w:eastAsia="宋体" w:cs="宋体"/>
          <w:b/>
          <w:bCs/>
          <w:snapToGrid w:val="0"/>
          <w:color w:val="000000"/>
          <w:spacing w:val="5"/>
          <w:position w:val="-2"/>
          <w:sz w:val="41"/>
          <w:szCs w:val="41"/>
          <w:lang w:val="en-US" w:eastAsia="zh-CN" w:bidi="ar-SA"/>
        </w:rPr>
      </w:pPr>
    </w:p>
    <w:p w14:paraId="2F36CA17">
      <w:pPr>
        <w:widowControl/>
        <w:kinsoku w:val="0"/>
        <w:autoSpaceDE w:val="0"/>
        <w:autoSpaceDN w:val="0"/>
        <w:adjustRightInd w:val="0"/>
        <w:snapToGrid w:val="0"/>
        <w:spacing w:line="224" w:lineRule="auto"/>
        <w:jc w:val="center"/>
        <w:textAlignment w:val="baseline"/>
        <w:outlineLvl w:val="0"/>
        <w:rPr>
          <w:rFonts w:hint="eastAsia" w:ascii="黑体" w:hAnsi="黑体" w:eastAsia="黑体" w:cs="黑体"/>
          <w:b/>
          <w:bCs/>
          <w:snapToGrid w:val="0"/>
          <w:color w:val="000000"/>
          <w:sz w:val="31"/>
          <w:szCs w:val="31"/>
          <w:lang w:val="en-US" w:eastAsia="zh-CN" w:bidi="ar-SA"/>
        </w:rPr>
      </w:pPr>
      <w:r>
        <w:rPr>
          <w:rFonts w:hint="eastAsia" w:ascii="黑体" w:hAnsi="黑体" w:eastAsia="黑体" w:cs="黑体"/>
          <w:b/>
          <w:bCs/>
          <w:snapToGrid w:val="0"/>
          <w:color w:val="000000"/>
          <w:sz w:val="31"/>
          <w:szCs w:val="31"/>
          <w:lang w:val="en-US" w:eastAsia="zh-CN" w:bidi="ar-SA"/>
        </w:rPr>
        <w:t>第一章 总则</w:t>
      </w:r>
    </w:p>
    <w:p w14:paraId="66B75B6B">
      <w:pPr>
        <w:widowControl/>
        <w:kinsoku w:val="0"/>
        <w:autoSpaceDE w:val="0"/>
        <w:autoSpaceDN w:val="0"/>
        <w:adjustRightInd w:val="0"/>
        <w:snapToGrid w:val="0"/>
        <w:spacing w:line="224" w:lineRule="auto"/>
        <w:jc w:val="center"/>
        <w:textAlignment w:val="baseline"/>
        <w:outlineLvl w:val="0"/>
        <w:rPr>
          <w:rFonts w:hint="eastAsia" w:ascii="黑体" w:hAnsi="黑体" w:eastAsia="黑体" w:cs="黑体"/>
          <w:b/>
          <w:bCs/>
          <w:snapToGrid w:val="0"/>
          <w:color w:val="000000"/>
          <w:sz w:val="31"/>
          <w:szCs w:val="31"/>
          <w:lang w:val="en-US" w:eastAsia="zh-CN" w:bidi="ar-SA"/>
        </w:rPr>
      </w:pPr>
    </w:p>
    <w:p w14:paraId="147BA65E">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第一条 </w:t>
      </w:r>
      <w:r>
        <w:rPr>
          <w:rFonts w:hint="eastAsia" w:ascii="仿宋" w:hAnsi="仿宋" w:eastAsia="仿宋" w:cs="仿宋"/>
          <w:b w:val="0"/>
          <w:bCs w:val="0"/>
          <w:snapToGrid w:val="0"/>
          <w:color w:val="000000"/>
          <w:spacing w:val="7"/>
          <w:sz w:val="32"/>
          <w:szCs w:val="32"/>
          <w:lang w:val="en-US" w:eastAsia="zh-CN" w:bidi="ar-SA"/>
        </w:rPr>
        <w:t>为贯彻水资源刚性约束制度，落实“四水四定”原则，统筹生活、生产、生态用水，强化用水总量与强度双控，规范用水权归集、配置、交易管理，促进水资源集约节约、优化配置与高效利用，依据《中华人民共和国水法》《取水许可和水资源费征收管理条例》《水权交易管理暂行办法》《山东省用水权交易管理办法（试行）》等规定，结合本市实际，制定本办法。</w:t>
      </w:r>
    </w:p>
    <w:p w14:paraId="0599836F">
      <w:pPr>
        <w:widowControl/>
        <w:kinsoku w:val="0"/>
        <w:autoSpaceDE w:val="0"/>
        <w:autoSpaceDN w:val="0"/>
        <w:adjustRightInd w:val="0"/>
        <w:snapToGrid w:val="0"/>
        <w:spacing w:line="308" w:lineRule="auto"/>
        <w:ind w:firstLine="652"/>
        <w:jc w:val="left"/>
        <w:textAlignment w:val="baseline"/>
        <w:rPr>
          <w:rFonts w:hint="default"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第二条 </w:t>
      </w:r>
      <w:r>
        <w:rPr>
          <w:rFonts w:hint="eastAsia" w:ascii="仿宋" w:hAnsi="仿宋" w:eastAsia="仿宋" w:cs="仿宋"/>
          <w:b w:val="0"/>
          <w:bCs w:val="0"/>
          <w:snapToGrid w:val="0"/>
          <w:color w:val="000000"/>
          <w:spacing w:val="7"/>
          <w:sz w:val="32"/>
          <w:szCs w:val="32"/>
          <w:lang w:val="en-US" w:eastAsia="zh-CN" w:bidi="ar-SA"/>
        </w:rPr>
        <w:t>本办法适用于本市行政区域内用水权收储交易监督管理及业务指导。</w:t>
      </w:r>
    </w:p>
    <w:p w14:paraId="65965479">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第三条 </w:t>
      </w:r>
      <w:r>
        <w:rPr>
          <w:rFonts w:hint="eastAsia" w:ascii="仿宋" w:hAnsi="仿宋" w:eastAsia="仿宋" w:cs="仿宋"/>
          <w:b w:val="0"/>
          <w:bCs w:val="0"/>
          <w:snapToGrid w:val="0"/>
          <w:color w:val="000000"/>
          <w:spacing w:val="7"/>
          <w:sz w:val="32"/>
          <w:szCs w:val="32"/>
          <w:lang w:val="en-US" w:eastAsia="zh-CN" w:bidi="ar-SA"/>
        </w:rPr>
        <w:t>本办法所称用水权收储，是指市水行政主管部门及其授权机构，对辖区内闲置、结余用水权指标统一归集，纳入市级水银行储备管理的行为。</w:t>
      </w:r>
    </w:p>
    <w:p w14:paraId="0DB47683">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第四条 </w:t>
      </w:r>
      <w:r>
        <w:rPr>
          <w:rFonts w:hint="eastAsia" w:ascii="仿宋" w:hAnsi="仿宋" w:eastAsia="仿宋" w:cs="仿宋"/>
          <w:b w:val="0"/>
          <w:bCs w:val="0"/>
          <w:snapToGrid w:val="0"/>
          <w:color w:val="000000"/>
          <w:spacing w:val="7"/>
          <w:sz w:val="32"/>
          <w:szCs w:val="32"/>
          <w:lang w:val="en-US" w:eastAsia="zh-CN" w:bidi="ar-SA"/>
        </w:rPr>
        <w:t>市水务局统筹全市用水权交易工作，负责制度体系建设、交易统筹规划、交易合规审核及行业监督管理，承担本市行政区域内跨县（区、市）用水权交易的审核、批准工作。</w:t>
      </w:r>
    </w:p>
    <w:p w14:paraId="2C6779F2">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市水利事务服务中心承担用水权常态化管理事务，负责用水权台账建立维护、取用水量核定、用水权指标划转、节余水量备案等技术性、事务性工作。</w:t>
      </w:r>
    </w:p>
    <w:p w14:paraId="038ADDE5">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市公共资源交易中心负责搭建专属用水权交易专区，规范开展挂牌公示、竞价交易、交易鉴证等公共交易服务，保障交易流程公开、透明、合规。</w:t>
      </w:r>
    </w:p>
    <w:p w14:paraId="582D4027">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各区市、开发区水行政主管部门负责辖区内用水权底数摸排、用水权申报初审及日常监督管理，配合市级部门完成用水权收储、指标配置等工作；负责辖区内用水权交易的审核、批准工作，指导辖区交易平台规范建设及运营工作。</w:t>
      </w:r>
    </w:p>
    <w:p w14:paraId="68141DD9">
      <w:pPr>
        <w:rPr>
          <w:highlight w:val="none"/>
        </w:rPr>
      </w:pPr>
    </w:p>
    <w:p w14:paraId="54CA9EFA">
      <w:pPr>
        <w:widowControl/>
        <w:kinsoku w:val="0"/>
        <w:autoSpaceDE w:val="0"/>
        <w:autoSpaceDN w:val="0"/>
        <w:adjustRightInd w:val="0"/>
        <w:snapToGrid w:val="0"/>
        <w:spacing w:line="224" w:lineRule="auto"/>
        <w:jc w:val="center"/>
        <w:textAlignment w:val="baseline"/>
        <w:outlineLvl w:val="0"/>
        <w:rPr>
          <w:rFonts w:hint="eastAsia" w:ascii="黑体" w:hAnsi="黑体" w:eastAsia="黑体" w:cs="黑体"/>
          <w:b/>
          <w:bCs/>
          <w:snapToGrid w:val="0"/>
          <w:color w:val="000000"/>
          <w:sz w:val="31"/>
          <w:szCs w:val="31"/>
          <w:lang w:val="en-US" w:eastAsia="zh-CN" w:bidi="ar-SA"/>
        </w:rPr>
      </w:pPr>
      <w:r>
        <w:rPr>
          <w:rFonts w:hint="eastAsia" w:ascii="黑体" w:hAnsi="黑体" w:eastAsia="黑体" w:cs="黑体"/>
          <w:b/>
          <w:bCs/>
          <w:snapToGrid w:val="0"/>
          <w:color w:val="000000"/>
          <w:sz w:val="31"/>
          <w:szCs w:val="31"/>
          <w:lang w:val="en-US" w:eastAsia="zh-CN" w:bidi="ar-SA"/>
        </w:rPr>
        <w:t>第二章 用水权收储</w:t>
      </w:r>
    </w:p>
    <w:p w14:paraId="475E2237">
      <w:pPr>
        <w:widowControl/>
        <w:kinsoku w:val="0"/>
        <w:autoSpaceDE w:val="0"/>
        <w:autoSpaceDN w:val="0"/>
        <w:adjustRightInd w:val="0"/>
        <w:snapToGrid w:val="0"/>
        <w:spacing w:line="224" w:lineRule="auto"/>
        <w:jc w:val="center"/>
        <w:textAlignment w:val="baseline"/>
        <w:outlineLvl w:val="0"/>
        <w:rPr>
          <w:rFonts w:hint="eastAsia" w:ascii="黑体" w:hAnsi="黑体" w:eastAsia="黑体" w:cs="黑体"/>
          <w:b/>
          <w:bCs/>
          <w:snapToGrid w:val="0"/>
          <w:color w:val="000000"/>
          <w:sz w:val="31"/>
          <w:szCs w:val="31"/>
          <w:lang w:val="en-US" w:eastAsia="zh-CN" w:bidi="ar-SA"/>
        </w:rPr>
      </w:pPr>
    </w:p>
    <w:p w14:paraId="0F5041D7">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bCs/>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第五条 </w:t>
      </w:r>
      <w:r>
        <w:rPr>
          <w:rFonts w:hint="eastAsia" w:ascii="仿宋" w:hAnsi="仿宋" w:eastAsia="仿宋" w:cs="仿宋"/>
          <w:b w:val="0"/>
          <w:bCs w:val="0"/>
          <w:snapToGrid w:val="0"/>
          <w:color w:val="000000"/>
          <w:spacing w:val="7"/>
          <w:sz w:val="32"/>
          <w:szCs w:val="32"/>
          <w:lang w:val="en-US" w:eastAsia="zh-CN" w:bidi="ar-SA"/>
        </w:rPr>
        <w:t>用水权收储范围为具有取水许可的取用水单位，暂不包括公共供水企业，水权收储来源分为市级无偿收储水量、可流转节余水量。</w:t>
      </w:r>
    </w:p>
    <w:p w14:paraId="296758FA">
      <w:pPr>
        <w:widowControl/>
        <w:kinsoku w:val="0"/>
        <w:autoSpaceDE w:val="0"/>
        <w:autoSpaceDN w:val="0"/>
        <w:adjustRightInd w:val="0"/>
        <w:snapToGrid w:val="0"/>
        <w:spacing w:line="308" w:lineRule="auto"/>
        <w:ind w:firstLine="652"/>
        <w:jc w:val="left"/>
        <w:textAlignment w:val="baseline"/>
        <w:rPr>
          <w:rFonts w:hint="default"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第六条 </w:t>
      </w:r>
      <w:r>
        <w:rPr>
          <w:rFonts w:hint="eastAsia" w:ascii="仿宋" w:hAnsi="仿宋" w:eastAsia="仿宋" w:cs="仿宋"/>
          <w:b w:val="0"/>
          <w:bCs w:val="0"/>
          <w:snapToGrid w:val="0"/>
          <w:color w:val="000000"/>
          <w:spacing w:val="7"/>
          <w:sz w:val="32"/>
          <w:szCs w:val="32"/>
          <w:lang w:val="en-US" w:eastAsia="zh-CN" w:bidi="ar-SA"/>
        </w:rPr>
        <w:t>市级无偿收储来源为：</w:t>
      </w:r>
    </w:p>
    <w:p w14:paraId="06252B78">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（一）政府投资实施的节水改造工程节约的用水权指标；</w:t>
      </w:r>
    </w:p>
    <w:p w14:paraId="5429954C">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（二）结余的区域用水权指标；</w:t>
      </w:r>
    </w:p>
    <w:p w14:paraId="1405124F">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（三）受土地征用、建设项目取消等因素影响产生的结余用水权指标；</w:t>
      </w:r>
    </w:p>
    <w:p w14:paraId="2B8E9BFA">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（四）因破产、关停以及迁出的用水户所持有的未到期的用水权指标；</w:t>
      </w:r>
    </w:p>
    <w:p w14:paraId="1A68341D">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（五）建设项目未达产或分批次建成投产前，长期未使用的用水权指标；</w:t>
      </w:r>
    </w:p>
    <w:p w14:paraId="3749413D">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（六）区域用水总量控制内未分配、预留水量；</w:t>
      </w:r>
    </w:p>
    <w:p w14:paraId="0C8E1A9E">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（七）法律法规及上级政策规定可归集的其他水量。</w:t>
      </w:r>
    </w:p>
    <w:p w14:paraId="391F6976">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第七条 </w:t>
      </w:r>
      <w:r>
        <w:rPr>
          <w:rFonts w:hint="eastAsia" w:ascii="仿宋" w:hAnsi="仿宋" w:eastAsia="仿宋" w:cs="仿宋"/>
          <w:b w:val="0"/>
          <w:bCs w:val="0"/>
          <w:snapToGrid w:val="0"/>
          <w:color w:val="000000"/>
          <w:spacing w:val="7"/>
          <w:sz w:val="32"/>
          <w:szCs w:val="32"/>
          <w:lang w:val="en-US" w:eastAsia="zh-CN" w:bidi="ar-SA"/>
        </w:rPr>
        <w:t>企业可流转节余水量收储来源于用水户节水改造、工艺升级、循环用水等形成的节余水量，由市水利事务服务中心建立台账。</w:t>
      </w:r>
    </w:p>
    <w:p w14:paraId="6981553F">
      <w:pPr>
        <w:widowControl/>
        <w:kinsoku w:val="0"/>
        <w:autoSpaceDE w:val="0"/>
        <w:autoSpaceDN w:val="0"/>
        <w:adjustRightInd w:val="0"/>
        <w:snapToGrid w:val="0"/>
        <w:spacing w:line="308" w:lineRule="auto"/>
        <w:ind w:firstLine="652"/>
        <w:jc w:val="left"/>
        <w:textAlignment w:val="baseline"/>
        <w:rPr>
          <w:rFonts w:hint="default"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第八条 </w:t>
      </w:r>
      <w:r>
        <w:rPr>
          <w:rFonts w:hint="eastAsia" w:ascii="仿宋" w:hAnsi="仿宋" w:eastAsia="仿宋" w:cs="仿宋"/>
          <w:b w:val="0"/>
          <w:bCs w:val="0"/>
          <w:snapToGrid w:val="0"/>
          <w:color w:val="000000"/>
          <w:spacing w:val="7"/>
          <w:sz w:val="32"/>
          <w:szCs w:val="32"/>
          <w:lang w:val="en-US" w:eastAsia="zh-CN" w:bidi="ar-SA"/>
        </w:rPr>
        <w:t>市级无偿收储流程包括用水情况确认、审核、核算收储水量、指标认定；可流转节余水量收储流程包括节余指标收储申请、审核、指标认定、台账登记。</w:t>
      </w:r>
    </w:p>
    <w:p w14:paraId="783273B9">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第九条  </w:t>
      </w:r>
      <w:r>
        <w:rPr>
          <w:rFonts w:hint="eastAsia" w:ascii="仿宋" w:hAnsi="仿宋" w:eastAsia="仿宋" w:cs="仿宋"/>
          <w:b w:val="0"/>
          <w:bCs w:val="0"/>
          <w:snapToGrid w:val="0"/>
          <w:color w:val="000000"/>
          <w:spacing w:val="7"/>
          <w:sz w:val="32"/>
          <w:szCs w:val="32"/>
          <w:lang w:val="en-US" w:eastAsia="zh-CN" w:bidi="ar-SA"/>
        </w:rPr>
        <w:t>用水权收储指标有效期与取水许可、用水计划执行、调水年度相匹配，一般情况下为当年有效。</w:t>
      </w:r>
    </w:p>
    <w:p w14:paraId="7CD62000">
      <w:pPr>
        <w:keepNext w:val="0"/>
        <w:keepLines w:val="0"/>
        <w:widowControl/>
        <w:suppressLineNumbers w:val="0"/>
        <w:pBdr>
          <w:top w:val="none" w:color="auto" w:sz="0" w:space="0"/>
          <w:left w:val="none" w:color="auto" w:sz="0" w:space="0"/>
          <w:bottom w:val="none" w:color="auto" w:sz="0" w:space="0"/>
          <w:right w:val="none" w:color="auto" w:sz="0" w:space="0"/>
        </w:pBdr>
        <w:bidi w:val="0"/>
        <w:spacing w:before="0" w:beforeAutospacing="0" w:after="0" w:afterAutospacing="0" w:line="360" w:lineRule="atLeast"/>
        <w:ind w:left="0" w:right="0"/>
        <w:jc w:val="left"/>
        <w:rPr>
          <w:rFonts w:ascii="宋体" w:hAnsi="宋体" w:eastAsia="宋体" w:cs="宋体"/>
          <w:color w:val="000000"/>
          <w:kern w:val="0"/>
          <w:sz w:val="24"/>
          <w:szCs w:val="24"/>
          <w:highlight w:val="none"/>
          <w:lang w:val="en-US" w:eastAsia="zh-CN" w:bidi="ar"/>
        </w:rPr>
      </w:pPr>
    </w:p>
    <w:p w14:paraId="405AD84D">
      <w:pPr>
        <w:widowControl/>
        <w:kinsoku w:val="0"/>
        <w:autoSpaceDE w:val="0"/>
        <w:autoSpaceDN w:val="0"/>
        <w:adjustRightInd w:val="0"/>
        <w:snapToGrid w:val="0"/>
        <w:spacing w:line="224" w:lineRule="auto"/>
        <w:jc w:val="center"/>
        <w:textAlignment w:val="baseline"/>
        <w:outlineLvl w:val="0"/>
        <w:rPr>
          <w:rFonts w:hint="eastAsia" w:ascii="黑体" w:hAnsi="黑体" w:eastAsia="黑体" w:cs="黑体"/>
          <w:b/>
          <w:bCs/>
          <w:snapToGrid w:val="0"/>
          <w:color w:val="000000"/>
          <w:sz w:val="31"/>
          <w:szCs w:val="31"/>
          <w:lang w:val="en-US" w:eastAsia="zh-CN" w:bidi="ar-SA"/>
        </w:rPr>
      </w:pPr>
      <w:r>
        <w:rPr>
          <w:rFonts w:hint="eastAsia" w:ascii="黑体" w:hAnsi="黑体" w:eastAsia="黑体" w:cs="黑体"/>
          <w:b/>
          <w:bCs/>
          <w:snapToGrid w:val="0"/>
          <w:color w:val="000000"/>
          <w:sz w:val="31"/>
          <w:szCs w:val="31"/>
          <w:lang w:val="en-US" w:eastAsia="zh-CN" w:bidi="ar-SA"/>
        </w:rPr>
        <w:t>第三章 用水权交易</w:t>
      </w:r>
    </w:p>
    <w:p w14:paraId="34323674">
      <w:pPr>
        <w:widowControl/>
        <w:kinsoku w:val="0"/>
        <w:autoSpaceDE w:val="0"/>
        <w:autoSpaceDN w:val="0"/>
        <w:adjustRightInd w:val="0"/>
        <w:snapToGrid w:val="0"/>
        <w:spacing w:line="224" w:lineRule="auto"/>
        <w:jc w:val="center"/>
        <w:textAlignment w:val="baseline"/>
        <w:outlineLvl w:val="0"/>
        <w:rPr>
          <w:rFonts w:hint="eastAsia" w:ascii="黑体" w:hAnsi="黑体" w:eastAsia="黑体" w:cs="黑体"/>
          <w:b/>
          <w:bCs/>
          <w:snapToGrid w:val="0"/>
          <w:color w:val="000000"/>
          <w:sz w:val="31"/>
          <w:szCs w:val="31"/>
          <w:lang w:val="en-US" w:eastAsia="zh-CN" w:bidi="ar-SA"/>
        </w:rPr>
      </w:pPr>
    </w:p>
    <w:p w14:paraId="4B2AFA04">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第十条 </w:t>
      </w:r>
      <w:r>
        <w:rPr>
          <w:rFonts w:hint="eastAsia" w:ascii="仿宋" w:hAnsi="仿宋" w:eastAsia="仿宋" w:cs="仿宋"/>
          <w:b w:val="0"/>
          <w:bCs w:val="0"/>
          <w:snapToGrid w:val="0"/>
          <w:color w:val="000000"/>
          <w:spacing w:val="7"/>
          <w:sz w:val="32"/>
          <w:szCs w:val="32"/>
          <w:lang w:val="en-US" w:eastAsia="zh-CN" w:bidi="ar-SA"/>
        </w:rPr>
        <w:t xml:space="preserve"> 收储的用水权指标交易统一纳入市公共资源交易中心平台，优先保障民生和重点建设项目用水。</w:t>
      </w:r>
    </w:p>
    <w:p w14:paraId="1F8C707B">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第十一条 </w:t>
      </w:r>
      <w:r>
        <w:rPr>
          <w:rFonts w:hint="eastAsia" w:ascii="仿宋" w:hAnsi="仿宋" w:eastAsia="仿宋" w:cs="仿宋"/>
          <w:b w:val="0"/>
          <w:bCs w:val="0"/>
          <w:snapToGrid w:val="0"/>
          <w:color w:val="000000"/>
          <w:spacing w:val="7"/>
          <w:sz w:val="32"/>
          <w:szCs w:val="32"/>
          <w:lang w:val="en-US" w:eastAsia="zh-CN" w:bidi="ar-SA"/>
        </w:rPr>
        <w:t>交易分为企业间政府无偿收储水权交易、可流转节余水量水权交易。</w:t>
      </w:r>
    </w:p>
    <w:p w14:paraId="325A7259">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（一）政府无偿收储水权交易：市级无偿收储水量用于本辖区非常规水用水单位置换常规水用水权。</w:t>
      </w:r>
    </w:p>
    <w:p w14:paraId="19D7B58C">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（二）企业间可流转节余水量水权交易：台账登记的可流转水量由主管部门协助供需对接，资金由交易双方自行结算。</w:t>
      </w:r>
    </w:p>
    <w:p w14:paraId="58E0E7F3">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第十二条 </w:t>
      </w:r>
      <w:r>
        <w:rPr>
          <w:rFonts w:hint="eastAsia" w:ascii="仿宋" w:hAnsi="仿宋" w:eastAsia="仿宋" w:cs="仿宋"/>
          <w:b w:val="0"/>
          <w:bCs w:val="0"/>
          <w:snapToGrid w:val="0"/>
          <w:color w:val="000000"/>
          <w:spacing w:val="7"/>
          <w:sz w:val="32"/>
          <w:szCs w:val="32"/>
          <w:lang w:val="en-US" w:eastAsia="zh-CN" w:bidi="ar-SA"/>
        </w:rPr>
        <w:t>有下列情形之一的，不予审核通过：</w:t>
      </w:r>
    </w:p>
    <w:p w14:paraId="2A03E9D4">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（一）不符合水资源刚性约束条件的；</w:t>
      </w:r>
    </w:p>
    <w:p w14:paraId="61E19569">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（二）不符合产业政策、区域水资源配置规划的；</w:t>
      </w:r>
    </w:p>
    <w:p w14:paraId="71E8AFF1">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（三）水量、期限超出区域水权、取水权利边界的；</w:t>
      </w:r>
    </w:p>
    <w:p w14:paraId="2CC35A50">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（四）取用水单位的用水效率不符合用水定额标准的；</w:t>
      </w:r>
    </w:p>
    <w:p w14:paraId="4E4B06F8">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（五）挤占生活、基本生态和农田灌溉合理用水的；</w:t>
      </w:r>
    </w:p>
    <w:p w14:paraId="53954D28">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（六）取用水计量监测设施不完善的；</w:t>
      </w:r>
    </w:p>
    <w:p w14:paraId="3CDFB2D5">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（七）可能对生态环境、第三方或者社会公共利益产生重大损害的；</w:t>
      </w:r>
    </w:p>
    <w:p w14:paraId="28E9E529">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val="0"/>
          <w:bCs w:val="0"/>
          <w:snapToGrid w:val="0"/>
          <w:color w:val="000000"/>
          <w:spacing w:val="7"/>
          <w:sz w:val="32"/>
          <w:szCs w:val="32"/>
          <w:lang w:val="en-US" w:eastAsia="zh-CN" w:bidi="ar-SA"/>
        </w:rPr>
        <w:t>（八）法律法规及政策禁止交易的其他情形。</w:t>
      </w:r>
    </w:p>
    <w:p w14:paraId="38CB5F45">
      <w:pPr>
        <w:keepNext w:val="0"/>
        <w:keepLines w:val="0"/>
        <w:widowControl/>
        <w:suppressLineNumbers w:val="0"/>
        <w:pBdr>
          <w:top w:val="none" w:color="auto" w:sz="0" w:space="0"/>
          <w:left w:val="none" w:color="auto" w:sz="0" w:space="0"/>
          <w:bottom w:val="none" w:color="auto" w:sz="0" w:space="0"/>
          <w:right w:val="none" w:color="auto" w:sz="0" w:space="0"/>
        </w:pBdr>
        <w:bidi w:val="0"/>
        <w:spacing w:before="0" w:beforeAutospacing="0" w:after="0" w:afterAutospacing="0" w:line="360" w:lineRule="atLeast"/>
        <w:ind w:left="0" w:right="0"/>
        <w:jc w:val="left"/>
        <w:rPr>
          <w:rFonts w:ascii="宋体" w:hAnsi="宋体" w:eastAsia="宋体" w:cs="宋体"/>
          <w:color w:val="000000"/>
          <w:kern w:val="0"/>
          <w:sz w:val="24"/>
          <w:szCs w:val="24"/>
          <w:highlight w:val="none"/>
          <w:lang w:val="en-US" w:eastAsia="zh-CN" w:bidi="ar"/>
        </w:rPr>
      </w:pPr>
    </w:p>
    <w:p w14:paraId="157F4949">
      <w:pPr>
        <w:widowControl/>
        <w:kinsoku w:val="0"/>
        <w:autoSpaceDE w:val="0"/>
        <w:autoSpaceDN w:val="0"/>
        <w:adjustRightInd w:val="0"/>
        <w:snapToGrid w:val="0"/>
        <w:spacing w:line="224" w:lineRule="auto"/>
        <w:jc w:val="center"/>
        <w:textAlignment w:val="baseline"/>
        <w:outlineLvl w:val="0"/>
        <w:rPr>
          <w:rFonts w:hint="eastAsia" w:ascii="黑体" w:hAnsi="黑体" w:eastAsia="黑体" w:cs="黑体"/>
          <w:b/>
          <w:bCs/>
          <w:snapToGrid w:val="0"/>
          <w:color w:val="000000"/>
          <w:sz w:val="31"/>
          <w:szCs w:val="31"/>
          <w:lang w:val="en-US" w:eastAsia="zh-CN" w:bidi="ar-SA"/>
        </w:rPr>
      </w:pPr>
      <w:r>
        <w:rPr>
          <w:rFonts w:hint="eastAsia" w:ascii="黑体" w:hAnsi="黑体" w:eastAsia="黑体" w:cs="黑体"/>
          <w:b/>
          <w:bCs/>
          <w:snapToGrid w:val="0"/>
          <w:color w:val="000000"/>
          <w:sz w:val="31"/>
          <w:szCs w:val="31"/>
          <w:lang w:val="en-US" w:eastAsia="zh-CN" w:bidi="ar-SA"/>
        </w:rPr>
        <w:t>第四章 监督管理</w:t>
      </w:r>
    </w:p>
    <w:p w14:paraId="68280983">
      <w:pPr>
        <w:widowControl/>
        <w:kinsoku w:val="0"/>
        <w:autoSpaceDE w:val="0"/>
        <w:autoSpaceDN w:val="0"/>
        <w:adjustRightInd w:val="0"/>
        <w:snapToGrid w:val="0"/>
        <w:spacing w:line="224" w:lineRule="auto"/>
        <w:jc w:val="center"/>
        <w:textAlignment w:val="baseline"/>
        <w:outlineLvl w:val="0"/>
        <w:rPr>
          <w:rFonts w:hint="eastAsia" w:ascii="黑体" w:hAnsi="黑体" w:eastAsia="黑体" w:cs="黑体"/>
          <w:b/>
          <w:bCs/>
          <w:snapToGrid w:val="0"/>
          <w:color w:val="000000"/>
          <w:sz w:val="31"/>
          <w:szCs w:val="31"/>
          <w:lang w:val="en-US" w:eastAsia="zh-CN" w:bidi="ar-SA"/>
        </w:rPr>
      </w:pPr>
    </w:p>
    <w:p w14:paraId="11815AEE">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第十三条 </w:t>
      </w:r>
      <w:r>
        <w:rPr>
          <w:rFonts w:hint="eastAsia" w:ascii="仿宋" w:hAnsi="仿宋" w:eastAsia="仿宋" w:cs="仿宋"/>
          <w:b w:val="0"/>
          <w:bCs w:val="0"/>
          <w:snapToGrid w:val="0"/>
          <w:color w:val="000000"/>
          <w:spacing w:val="7"/>
          <w:sz w:val="32"/>
          <w:szCs w:val="32"/>
          <w:lang w:val="en-US" w:eastAsia="zh-CN" w:bidi="ar-SA"/>
        </w:rPr>
        <w:t>各级水行政主管部门负责加强对用水权交易双方的业务指导与监管，重点跟踪检查用水权交易水量的真实性、水资源用途的合规性、交易程序的规范性等。</w:t>
      </w:r>
    </w:p>
    <w:p w14:paraId="0CB4EAE8">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第十四条 </w:t>
      </w:r>
      <w:r>
        <w:rPr>
          <w:rFonts w:hint="eastAsia" w:ascii="仿宋" w:hAnsi="仿宋" w:eastAsia="仿宋" w:cs="仿宋"/>
          <w:b w:val="0"/>
          <w:bCs w:val="0"/>
          <w:snapToGrid w:val="0"/>
          <w:color w:val="000000"/>
          <w:spacing w:val="7"/>
          <w:sz w:val="32"/>
          <w:szCs w:val="32"/>
          <w:lang w:val="en-US" w:eastAsia="zh-CN" w:bidi="ar-SA"/>
        </w:rPr>
        <w:t>各级水行政主管部门应加强水资源监测计量监管。开展用水</w:t>
      </w:r>
      <w:bookmarkStart w:id="0" w:name="_GoBack"/>
      <w:bookmarkEnd w:id="0"/>
      <w:r>
        <w:rPr>
          <w:rFonts w:hint="eastAsia" w:ascii="仿宋" w:hAnsi="仿宋" w:eastAsia="仿宋" w:cs="仿宋"/>
          <w:b w:val="0"/>
          <w:bCs w:val="0"/>
          <w:snapToGrid w:val="0"/>
          <w:color w:val="000000"/>
          <w:spacing w:val="7"/>
          <w:sz w:val="32"/>
          <w:szCs w:val="32"/>
          <w:lang w:val="en-US" w:eastAsia="zh-CN" w:bidi="ar-SA"/>
        </w:rPr>
        <w:t>权交易的各方应强化取用水监测计量建设，具备相应的监测计量设施，满足用水权交易监测计量需求。</w:t>
      </w:r>
    </w:p>
    <w:p w14:paraId="649FF93B">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第十五条 </w:t>
      </w:r>
      <w:r>
        <w:rPr>
          <w:rFonts w:hint="eastAsia" w:ascii="仿宋" w:hAnsi="仿宋" w:eastAsia="仿宋" w:cs="仿宋"/>
          <w:b w:val="0"/>
          <w:bCs w:val="0"/>
          <w:snapToGrid w:val="0"/>
          <w:color w:val="000000"/>
          <w:spacing w:val="7"/>
          <w:sz w:val="32"/>
          <w:szCs w:val="32"/>
          <w:lang w:val="en-US" w:eastAsia="zh-CN" w:bidi="ar-SA"/>
        </w:rPr>
        <w:t>各级水行政主管部门应及时在省级水资源管理系统中更新本行政区域内用水权交易信息。用水权交易完成后，水行政主管部门应在10个工作日内将交易鉴证书和用水权交易表上传至水资源管理系统，及时调整用水计划；需要缴纳水资源税的应当在水资源税在线监测系统更新用水权转让信息。</w:t>
      </w:r>
    </w:p>
    <w:p w14:paraId="10AA642B">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bCs/>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第十六条 </w:t>
      </w:r>
      <w:r>
        <w:rPr>
          <w:rFonts w:hint="eastAsia" w:ascii="仿宋" w:hAnsi="仿宋" w:eastAsia="仿宋" w:cs="仿宋"/>
          <w:b w:val="0"/>
          <w:bCs w:val="0"/>
          <w:snapToGrid w:val="0"/>
          <w:color w:val="000000"/>
          <w:spacing w:val="7"/>
          <w:sz w:val="32"/>
          <w:szCs w:val="32"/>
          <w:lang w:val="en-US" w:eastAsia="zh-CN" w:bidi="ar-SA"/>
        </w:rPr>
        <w:t>存在违规转让用水权、用水权交易程序不规范等行为的，县级以上人民政府水行政主管部门应立即责令停止违规行为并监督整改。</w:t>
      </w:r>
    </w:p>
    <w:p w14:paraId="7771BC7E">
      <w:pPr>
        <w:rPr>
          <w:highlight w:val="none"/>
        </w:rPr>
      </w:pPr>
    </w:p>
    <w:p w14:paraId="75A2229A">
      <w:pPr>
        <w:widowControl/>
        <w:kinsoku w:val="0"/>
        <w:autoSpaceDE w:val="0"/>
        <w:autoSpaceDN w:val="0"/>
        <w:adjustRightInd w:val="0"/>
        <w:snapToGrid w:val="0"/>
        <w:spacing w:line="224" w:lineRule="auto"/>
        <w:jc w:val="center"/>
        <w:textAlignment w:val="baseline"/>
        <w:outlineLvl w:val="0"/>
        <w:rPr>
          <w:rFonts w:hint="eastAsia" w:ascii="黑体" w:hAnsi="黑体" w:eastAsia="黑体" w:cs="黑体"/>
          <w:b/>
          <w:bCs/>
          <w:snapToGrid w:val="0"/>
          <w:color w:val="000000"/>
          <w:sz w:val="31"/>
          <w:szCs w:val="31"/>
          <w:lang w:val="en-US" w:eastAsia="zh-CN" w:bidi="ar-SA"/>
        </w:rPr>
      </w:pPr>
      <w:r>
        <w:rPr>
          <w:rFonts w:hint="eastAsia" w:ascii="黑体" w:hAnsi="黑体" w:eastAsia="黑体" w:cs="黑体"/>
          <w:b/>
          <w:bCs/>
          <w:snapToGrid w:val="0"/>
          <w:color w:val="000000"/>
          <w:sz w:val="31"/>
          <w:szCs w:val="31"/>
          <w:lang w:val="en-US" w:eastAsia="zh-CN" w:bidi="ar-SA"/>
        </w:rPr>
        <w:t>第五章 附则</w:t>
      </w:r>
    </w:p>
    <w:p w14:paraId="1F4A1B36">
      <w:pPr>
        <w:widowControl/>
        <w:kinsoku w:val="0"/>
        <w:autoSpaceDE w:val="0"/>
        <w:autoSpaceDN w:val="0"/>
        <w:adjustRightInd w:val="0"/>
        <w:snapToGrid w:val="0"/>
        <w:spacing w:line="224" w:lineRule="auto"/>
        <w:jc w:val="center"/>
        <w:textAlignment w:val="baseline"/>
        <w:outlineLvl w:val="0"/>
        <w:rPr>
          <w:rFonts w:hint="eastAsia" w:ascii="黑体" w:hAnsi="黑体" w:eastAsia="黑体" w:cs="黑体"/>
          <w:b/>
          <w:bCs/>
          <w:snapToGrid w:val="0"/>
          <w:color w:val="000000"/>
          <w:sz w:val="31"/>
          <w:szCs w:val="31"/>
          <w:lang w:val="en-US" w:eastAsia="zh-CN" w:bidi="ar-SA"/>
        </w:rPr>
      </w:pPr>
    </w:p>
    <w:p w14:paraId="476863C1">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第十七条 </w:t>
      </w:r>
      <w:r>
        <w:rPr>
          <w:rFonts w:hint="eastAsia" w:ascii="仿宋" w:hAnsi="仿宋" w:eastAsia="仿宋" w:cs="仿宋"/>
          <w:b w:val="0"/>
          <w:bCs w:val="0"/>
          <w:snapToGrid w:val="0"/>
          <w:color w:val="000000"/>
          <w:spacing w:val="7"/>
          <w:sz w:val="32"/>
          <w:szCs w:val="32"/>
          <w:lang w:val="en-US" w:eastAsia="zh-CN" w:bidi="ar-SA"/>
        </w:rPr>
        <w:t>本办法未尽事宜，按照国家、省现行有效法律法规执行。</w:t>
      </w:r>
    </w:p>
    <w:p w14:paraId="34D3EC9B">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bCs/>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第十八条 </w:t>
      </w:r>
      <w:r>
        <w:rPr>
          <w:rFonts w:hint="eastAsia" w:ascii="仿宋" w:hAnsi="仿宋" w:eastAsia="仿宋" w:cs="仿宋"/>
          <w:b w:val="0"/>
          <w:bCs w:val="0"/>
          <w:snapToGrid w:val="0"/>
          <w:color w:val="000000"/>
          <w:spacing w:val="7"/>
          <w:sz w:val="32"/>
          <w:szCs w:val="32"/>
          <w:lang w:val="en-US" w:eastAsia="zh-CN" w:bidi="ar-SA"/>
        </w:rPr>
        <w:t>本办法由威海市水务局负责解释。</w:t>
      </w:r>
    </w:p>
    <w:p w14:paraId="1BD386C6">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val="0"/>
          <w:bCs w:val="0"/>
          <w:snapToGrid w:val="0"/>
          <w:color w:val="000000"/>
          <w:spacing w:val="7"/>
          <w:sz w:val="32"/>
          <w:szCs w:val="32"/>
          <w:lang w:val="en-US" w:eastAsia="zh-CN" w:bidi="ar-SA"/>
        </w:rPr>
      </w:pPr>
      <w:r>
        <w:rPr>
          <w:rFonts w:hint="eastAsia" w:ascii="仿宋" w:hAnsi="仿宋" w:eastAsia="仿宋" w:cs="仿宋"/>
          <w:b/>
          <w:bCs/>
          <w:snapToGrid w:val="0"/>
          <w:color w:val="000000"/>
          <w:spacing w:val="7"/>
          <w:sz w:val="32"/>
          <w:szCs w:val="32"/>
          <w:lang w:val="en-US" w:eastAsia="zh-CN" w:bidi="ar-SA"/>
        </w:rPr>
        <w:t xml:space="preserve">第十九条 </w:t>
      </w:r>
      <w:r>
        <w:rPr>
          <w:rFonts w:hint="eastAsia" w:ascii="仿宋" w:hAnsi="仿宋" w:eastAsia="仿宋" w:cs="仿宋"/>
          <w:b w:val="0"/>
          <w:bCs w:val="0"/>
          <w:snapToGrid w:val="0"/>
          <w:color w:val="000000"/>
          <w:spacing w:val="7"/>
          <w:sz w:val="32"/>
          <w:szCs w:val="32"/>
          <w:lang w:val="en-US" w:eastAsia="zh-CN" w:bidi="ar-SA"/>
        </w:rPr>
        <w:t>本办法自 2026 年 月 日起施行，有效期至 2028 年 月 日。</w:t>
      </w:r>
    </w:p>
    <w:p w14:paraId="6BE3673B">
      <w:pPr>
        <w:widowControl/>
        <w:kinsoku w:val="0"/>
        <w:autoSpaceDE w:val="0"/>
        <w:autoSpaceDN w:val="0"/>
        <w:adjustRightInd w:val="0"/>
        <w:snapToGrid w:val="0"/>
        <w:spacing w:line="308" w:lineRule="auto"/>
        <w:ind w:firstLine="652"/>
        <w:jc w:val="left"/>
        <w:textAlignment w:val="baseline"/>
        <w:rPr>
          <w:rFonts w:hint="eastAsia" w:ascii="仿宋" w:hAnsi="仿宋" w:eastAsia="仿宋" w:cs="仿宋"/>
          <w:b/>
          <w:bCs/>
          <w:snapToGrid w:val="0"/>
          <w:color w:val="000000"/>
          <w:spacing w:val="7"/>
          <w:sz w:val="32"/>
          <w:szCs w:val="32"/>
          <w:lang w:val="en-US" w:eastAsia="zh-CN" w:bidi="ar-SA"/>
        </w:rPr>
      </w:pPr>
    </w:p>
    <w:sectPr>
      <w:headerReference r:id="rId3" w:type="default"/>
      <w:footerReference r:id="rId4" w:type="default"/>
      <w:pgSz w:w="11905" w:h="1684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23C646"/>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AC1835"/>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isplayHorizontalDrawingGridEvery w:val="1"/>
  <w:displayVerticalDrawingGridEvery w:val="1"/>
  <w:noPunctuationKerning w:val="1"/>
  <w:compat>
    <w:doNotExpandShiftReturn/>
    <w:doNotWrapTextWithPunct/>
    <w:doNotUseEastAsianBreakRules/>
    <w:useFELayout/>
    <w:splitPgBreakAndParaMark/>
    <w:compatSetting w:name="compatibilityMode" w:uri="http://schemas.microsoft.com/office/word" w:val="12"/>
  </w:compat>
  <w:rsids>
    <w:rsidRoot w:val="00000000"/>
    <w:rsid w:val="08616165"/>
    <w:rsid w:val="10076938"/>
    <w:rsid w:val="12166E4B"/>
    <w:rsid w:val="15B06CAF"/>
    <w:rsid w:val="17D06737"/>
    <w:rsid w:val="1A192B3F"/>
    <w:rsid w:val="223E0AED"/>
    <w:rsid w:val="258D2DCE"/>
    <w:rsid w:val="2BED5C8D"/>
    <w:rsid w:val="2FA528F1"/>
    <w:rsid w:val="3688061E"/>
    <w:rsid w:val="3BAC0E25"/>
    <w:rsid w:val="3C406CD7"/>
    <w:rsid w:val="43E80F94"/>
    <w:rsid w:val="440A1978"/>
    <w:rsid w:val="514E008B"/>
    <w:rsid w:val="53FF2B7C"/>
    <w:rsid w:val="60316051"/>
    <w:rsid w:val="61450FB1"/>
    <w:rsid w:val="694110E9"/>
    <w:rsid w:val="6B756A31"/>
    <w:rsid w:val="6E3F02ED"/>
    <w:rsid w:val="71B90480"/>
    <w:rsid w:val="72C970DE"/>
    <w:rsid w:val="73334198"/>
    <w:rsid w:val="768A6E3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sz w:val="21"/>
      <w:szCs w:val="22"/>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Pages>
  <Words>1825</Words>
  <Characters>1832</Characters>
  <TotalTime>4</TotalTime>
  <ScaleCrop>false</ScaleCrop>
  <LinksUpToDate>false</LinksUpToDate>
  <CharactersWithSpaces>1863</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2026-05-15T06:55:00Z</dcterms:created>
  <dc:creator>Apache POI</dc:creator>
  <cp:lastModifiedBy>雨夜星海</cp:lastModifiedBy>
  <dcterms:modified xsi:type="dcterms:W3CDTF">2026-05-25T02:12:02Z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eyJoZGlkIjoiZTkwNjAwMzI3NWZlMjA5OWZhMzI1NzY0MTlhN2U1NjciLCJ1c2VySWQiOiIyNDg1MTYzNzkifQ==</vt:lpwstr>
  </property>
  <property fmtid="{D5CDD505-2E9C-101B-9397-08002B2CF9AE}" pid="3" name="KSOProductBuildVer">
    <vt:lpwstr>2052-12.1.0.26375</vt:lpwstr>
  </property>
  <property fmtid="{D5CDD505-2E9C-101B-9397-08002B2CF9AE}" pid="4" name="ICV">
    <vt:lpwstr>66B040218F834899B3E35CF1803D97E4_12</vt:lpwstr>
  </property>
</Properties>
</file>