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ascii="Times New Roman" w:eastAsia="方正小标宋简体"/>
          <w:color w:val="FF0000"/>
          <w:sz w:val="84"/>
          <w:szCs w:val="84"/>
        </w:rPr>
      </w:pPr>
      <w:r>
        <w:rPr>
          <w:rFonts w:ascii="Times New Roman" w:hAnsi="方正小标宋_GBK" w:eastAsia="方正小标宋简体"/>
          <w:color w:val="FF0000"/>
          <w:sz w:val="84"/>
          <w:szCs w:val="84"/>
        </w:rPr>
        <w:t>威</w:t>
      </w:r>
      <w:r>
        <w:rPr>
          <w:rFonts w:ascii="Times New Roman" w:eastAsia="方正小标宋简体"/>
          <w:color w:val="FF0000"/>
          <w:sz w:val="84"/>
          <w:szCs w:val="84"/>
        </w:rPr>
        <w:t xml:space="preserve"> </w:t>
      </w:r>
      <w:r>
        <w:rPr>
          <w:rFonts w:ascii="Times New Roman" w:hAnsi="方正小标宋_GBK" w:eastAsia="方正小标宋简体"/>
          <w:color w:val="FF0000"/>
          <w:sz w:val="84"/>
          <w:szCs w:val="84"/>
        </w:rPr>
        <w:t>海</w:t>
      </w:r>
      <w:r>
        <w:rPr>
          <w:rFonts w:ascii="Times New Roman" w:eastAsia="方正小标宋简体"/>
          <w:color w:val="FF0000"/>
          <w:sz w:val="84"/>
          <w:szCs w:val="84"/>
        </w:rPr>
        <w:t xml:space="preserve"> </w:t>
      </w:r>
      <w:r>
        <w:rPr>
          <w:rFonts w:ascii="Times New Roman" w:hAnsi="方正小标宋_GBK" w:eastAsia="方正小标宋简体"/>
          <w:color w:val="FF0000"/>
          <w:sz w:val="84"/>
          <w:szCs w:val="84"/>
        </w:rPr>
        <w:t>市</w:t>
      </w:r>
      <w:r>
        <w:rPr>
          <w:rFonts w:ascii="Times New Roman" w:eastAsia="方正小标宋简体"/>
          <w:color w:val="FF0000"/>
          <w:sz w:val="84"/>
          <w:szCs w:val="84"/>
        </w:rPr>
        <w:t xml:space="preserve"> </w:t>
      </w:r>
      <w:r>
        <w:rPr>
          <w:rFonts w:ascii="Times New Roman" w:hAnsi="方正小标宋_GBK" w:eastAsia="方正小标宋简体"/>
          <w:color w:val="FF0000"/>
          <w:sz w:val="84"/>
          <w:szCs w:val="84"/>
        </w:rPr>
        <w:t>水</w:t>
      </w:r>
      <w:r>
        <w:rPr>
          <w:rFonts w:ascii="Times New Roman" w:eastAsia="方正小标宋简体"/>
          <w:color w:val="FF0000"/>
          <w:sz w:val="84"/>
          <w:szCs w:val="84"/>
        </w:rPr>
        <w:t xml:space="preserve"> </w:t>
      </w:r>
      <w:r>
        <w:rPr>
          <w:rFonts w:hint="eastAsia" w:ascii="Times New Roman" w:eastAsia="方正小标宋简体"/>
          <w:color w:val="FF0000"/>
          <w:sz w:val="84"/>
          <w:szCs w:val="84"/>
          <w:lang w:eastAsia="zh-CN"/>
        </w:rPr>
        <w:t>务</w:t>
      </w:r>
      <w:r>
        <w:rPr>
          <w:rFonts w:ascii="Times New Roman" w:eastAsia="方正小标宋简体"/>
          <w:color w:val="FF0000"/>
          <w:sz w:val="84"/>
          <w:szCs w:val="84"/>
        </w:rPr>
        <w:t xml:space="preserve"> </w:t>
      </w:r>
      <w:r>
        <w:rPr>
          <w:rFonts w:ascii="Times New Roman" w:hAnsi="方正小标宋_GBK" w:eastAsia="方正小标宋简体"/>
          <w:color w:val="FF0000"/>
          <w:sz w:val="84"/>
          <w:szCs w:val="84"/>
        </w:rPr>
        <w:t>局</w:t>
      </w:r>
    </w:p>
    <w:p>
      <w:pPr>
        <w:pStyle w:val="7"/>
        <w:shd w:val="clear" w:color="auto" w:fill="FFFFFF"/>
        <w:spacing w:line="360" w:lineRule="auto"/>
        <w:rPr>
          <w:rFonts w:ascii="Times New Roman" w:eastAsia="黑体"/>
          <w:bCs/>
          <w:sz w:val="44"/>
          <w:szCs w:val="44"/>
        </w:rPr>
      </w:pPr>
      <w:r>
        <w:rPr>
          <w:rFonts w:ascii="Times New Roman"/>
          <w:color w:val="FF0000"/>
          <w:u w:val="thick"/>
        </w:rPr>
        <w:t xml:space="preserve">                                                                                        </w:t>
      </w:r>
    </w:p>
    <w:p>
      <w:pPr>
        <w:spacing w:line="360" w:lineRule="auto"/>
        <w:jc w:val="center"/>
        <w:rPr>
          <w:rFonts w:ascii="Times New Roman" w:eastAsia="方正小标宋简体"/>
          <w:color w:val="000000"/>
          <w:szCs w:val="32"/>
        </w:rPr>
      </w:pPr>
    </w:p>
    <w:p>
      <w:pPr>
        <w:spacing w:line="660" w:lineRule="exact"/>
        <w:jc w:val="center"/>
        <w:rPr>
          <w:rFonts w:ascii="Times New Roman" w:eastAsia="方正小标宋简体"/>
          <w:color w:val="000000"/>
          <w:sz w:val="44"/>
          <w:szCs w:val="44"/>
        </w:rPr>
      </w:pPr>
      <w:r>
        <w:rPr>
          <w:rFonts w:ascii="Times New Roman" w:hAnsi="方正小标宋_GBK" w:eastAsia="方正小标宋简体"/>
          <w:color w:val="000000"/>
          <w:sz w:val="44"/>
          <w:szCs w:val="44"/>
        </w:rPr>
        <w:t>威海市水</w:t>
      </w:r>
      <w:r>
        <w:rPr>
          <w:rFonts w:hint="eastAsia" w:ascii="Times New Roman" w:hAnsi="方正小标宋_GBK" w:eastAsia="方正小标宋简体"/>
          <w:color w:val="000000"/>
          <w:sz w:val="44"/>
          <w:szCs w:val="44"/>
        </w:rPr>
        <w:t>务</w:t>
      </w:r>
      <w:r>
        <w:rPr>
          <w:rFonts w:ascii="Times New Roman" w:hAnsi="方正小标宋_GBK" w:eastAsia="方正小标宋简体"/>
          <w:color w:val="000000"/>
          <w:sz w:val="44"/>
          <w:szCs w:val="44"/>
        </w:rPr>
        <w:t>局</w:t>
      </w:r>
    </w:p>
    <w:p>
      <w:pPr>
        <w:spacing w:line="660" w:lineRule="exact"/>
        <w:jc w:val="center"/>
        <w:rPr>
          <w:rFonts w:ascii="Times New Roman" w:eastAsia="方正小标宋简体"/>
          <w:color w:val="000000"/>
          <w:sz w:val="44"/>
          <w:szCs w:val="44"/>
        </w:rPr>
      </w:pPr>
      <w:r>
        <w:rPr>
          <w:rFonts w:ascii="Times New Roman" w:eastAsia="方正小标宋简体"/>
          <w:color w:val="000000"/>
          <w:sz w:val="44"/>
          <w:szCs w:val="44"/>
        </w:rPr>
        <w:t>20</w:t>
      </w:r>
      <w:r>
        <w:rPr>
          <w:rFonts w:hint="eastAsia" w:ascii="Times New Roman" w:eastAsia="方正小标宋简体"/>
          <w:color w:val="000000"/>
          <w:sz w:val="44"/>
          <w:szCs w:val="44"/>
          <w:lang w:val="en-US" w:eastAsia="zh-CN"/>
        </w:rPr>
        <w:t>20</w:t>
      </w:r>
      <w:r>
        <w:rPr>
          <w:rFonts w:ascii="Times New Roman" w:hAnsi="方正小标宋_GBK" w:eastAsia="方正小标宋简体"/>
          <w:color w:val="000000"/>
          <w:sz w:val="44"/>
          <w:szCs w:val="44"/>
        </w:rPr>
        <w:t>年度政府信息公开工作报告</w:t>
      </w:r>
    </w:p>
    <w:p>
      <w:pPr>
        <w:spacing w:line="360" w:lineRule="auto"/>
        <w:rPr>
          <w:rFonts w:ascii="Times New Roman" w:eastAsia="仿宋_GB2312"/>
          <w:szCs w:val="32"/>
        </w:rPr>
      </w:pPr>
    </w:p>
    <w:p>
      <w:pPr>
        <w:ind w:firstLine="640" w:firstLineChars="200"/>
        <w:rPr>
          <w:rFonts w:hint="eastAsia" w:ascii="Times New Roman" w:hAnsi="仿宋_GB2312" w:eastAsia="仿宋_GB2312"/>
          <w:szCs w:val="32"/>
        </w:rPr>
      </w:pPr>
      <w:r>
        <w:rPr>
          <w:rFonts w:hint="eastAsia" w:ascii="Times New Roman" w:hAnsi="仿宋_GB2312" w:eastAsia="仿宋_GB2312"/>
          <w:szCs w:val="32"/>
        </w:rPr>
        <w:t>根据《中华人民共和国政府信息公开条例》规定以及各级信息公开有关要求，现公布威海市水务局 20</w:t>
      </w:r>
      <w:r>
        <w:rPr>
          <w:rFonts w:hint="eastAsia" w:ascii="Times New Roman" w:hAnsi="仿宋_GB2312" w:eastAsia="仿宋_GB2312"/>
          <w:szCs w:val="32"/>
          <w:lang w:val="en-US" w:eastAsia="zh-CN"/>
        </w:rPr>
        <w:t>20</w:t>
      </w:r>
      <w:r>
        <w:rPr>
          <w:rFonts w:hint="eastAsia" w:ascii="Times New Roman" w:hAnsi="仿宋_GB2312" w:eastAsia="仿宋_GB2312"/>
          <w:szCs w:val="32"/>
        </w:rPr>
        <w:t>年政府信息公</w:t>
      </w:r>
      <w:bookmarkStart w:id="0" w:name="_GoBack"/>
      <w:bookmarkEnd w:id="0"/>
      <w:r>
        <w:rPr>
          <w:rFonts w:hint="eastAsia" w:ascii="Times New Roman" w:hAnsi="仿宋_GB2312" w:eastAsia="仿宋_GB2312"/>
          <w:szCs w:val="32"/>
        </w:rPr>
        <w:t>开工作年度报告。本报告由总体情况、主动公开政府信息情况、收到和处理政府信息公开申请情况、政府信息公开行政复议和行政诉讼的情况、存在的主要问题及改进情况、其他需要报告的事项等部分组成。本报告中所列数据的统计时限自 20</w:t>
      </w:r>
      <w:r>
        <w:rPr>
          <w:rFonts w:hint="eastAsia" w:ascii="Times New Roman" w:hAnsi="仿宋_GB2312" w:eastAsia="仿宋_GB2312"/>
          <w:szCs w:val="32"/>
          <w:lang w:val="en-US" w:eastAsia="zh-CN"/>
        </w:rPr>
        <w:t>20</w:t>
      </w:r>
      <w:r>
        <w:rPr>
          <w:rFonts w:hint="eastAsia" w:ascii="Times New Roman" w:hAnsi="仿宋_GB2312" w:eastAsia="仿宋_GB2312"/>
          <w:szCs w:val="32"/>
        </w:rPr>
        <w:t xml:space="preserve"> 年 1月 1 日起至 20</w:t>
      </w:r>
      <w:r>
        <w:rPr>
          <w:rFonts w:hint="eastAsia" w:ascii="Times New Roman" w:hAnsi="仿宋_GB2312" w:eastAsia="仿宋_GB2312"/>
          <w:szCs w:val="32"/>
          <w:lang w:val="en-US" w:eastAsia="zh-CN"/>
        </w:rPr>
        <w:t>20</w:t>
      </w:r>
      <w:r>
        <w:rPr>
          <w:rFonts w:hint="eastAsia" w:ascii="Times New Roman" w:hAnsi="仿宋_GB2312" w:eastAsia="仿宋_GB2312"/>
          <w:szCs w:val="32"/>
        </w:rPr>
        <w:t xml:space="preserve"> 年 12 月 31 日止。本报告的电子版可在威海市人民政府门户网站“中国·威海”（http://www.weihai.gov.cn）和威海市水务局门户网站“威海市水务局网站”（slj.weihai.gov.cn）下载。如对本报告有疑问，请与威海市水务局联系（地址：威海市环翠区渔港路 38 号；邮编：264200；电话：0631--5309525、0631--5309526）。</w:t>
      </w:r>
    </w:p>
    <w:p>
      <w:pPr>
        <w:ind w:firstLine="640" w:firstLineChars="200"/>
        <w:rPr>
          <w:rFonts w:hint="eastAsia"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一、总体情况</w:t>
      </w:r>
    </w:p>
    <w:p>
      <w:pPr>
        <w:ind w:firstLine="640" w:firstLineChars="200"/>
        <w:rPr>
          <w:rFonts w:hint="eastAsia" w:ascii="Times New Roman" w:hAnsi="仿宋_GB2312" w:eastAsia="仿宋_GB2312"/>
          <w:szCs w:val="32"/>
        </w:rPr>
      </w:pPr>
      <w:r>
        <w:rPr>
          <w:rFonts w:hint="eastAsia" w:ascii="Times New Roman" w:hAnsi="仿宋_GB2312" w:eastAsia="仿宋_GB2312"/>
          <w:szCs w:val="32"/>
        </w:rPr>
        <w:t>20</w:t>
      </w:r>
      <w:r>
        <w:rPr>
          <w:rFonts w:hint="eastAsia" w:ascii="Times New Roman" w:hAnsi="仿宋_GB2312" w:eastAsia="仿宋_GB2312"/>
          <w:szCs w:val="32"/>
          <w:lang w:val="en-US" w:eastAsia="zh-CN"/>
        </w:rPr>
        <w:t>20</w:t>
      </w:r>
      <w:r>
        <w:rPr>
          <w:rFonts w:hint="eastAsia" w:ascii="Times New Roman" w:hAnsi="仿宋_GB2312" w:eastAsia="仿宋_GB2312"/>
          <w:szCs w:val="32"/>
        </w:rPr>
        <w:t>年，威海市水务局认真落实《中华人民共和国</w:t>
      </w:r>
      <w:r>
        <w:rPr>
          <w:rFonts w:hint="eastAsia" w:ascii="Times New Roman" w:hAnsi="仿宋_GB2312" w:eastAsia="仿宋_GB2312"/>
          <w:szCs w:val="32"/>
          <w:lang w:eastAsia="zh-CN"/>
        </w:rPr>
        <w:t>政府</w:t>
      </w:r>
      <w:r>
        <w:rPr>
          <w:rFonts w:hint="eastAsia" w:ascii="Times New Roman" w:hAnsi="仿宋_GB2312" w:eastAsia="仿宋_GB2312"/>
          <w:szCs w:val="32"/>
        </w:rPr>
        <w:t>信息公开条例》及各级信息公开相关文件精神，坚持“公开为常态、不公开为例外”，进一步推进决策公开、管理和服务公开、结果公开、重点领域信息公开等工作，加强政策解读与热点回应，强化制度和平台建设，不断加大公开力度，推动政府信息公开工作不断取得新进展。</w:t>
      </w:r>
    </w:p>
    <w:p>
      <w:pPr>
        <w:ind w:firstLine="640" w:firstLineChars="200"/>
        <w:rPr>
          <w:rFonts w:hint="eastAsia"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</w:rPr>
        <w:t>（一）主动公开政府信息情况</w:t>
      </w:r>
    </w:p>
    <w:p>
      <w:pPr>
        <w:ind w:firstLine="640" w:firstLineChars="200"/>
        <w:rPr>
          <w:rFonts w:hint="eastAsia" w:ascii="Times New Roman" w:hAnsi="仿宋_GB2312" w:eastAsia="仿宋_GB2312"/>
          <w:szCs w:val="32"/>
        </w:rPr>
      </w:pPr>
      <w:r>
        <w:rPr>
          <w:rFonts w:hint="eastAsia" w:ascii="Times New Roman" w:hAnsi="仿宋_GB2312" w:eastAsia="仿宋_GB2312"/>
          <w:szCs w:val="32"/>
        </w:rPr>
        <w:t>20</w:t>
      </w:r>
      <w:r>
        <w:rPr>
          <w:rFonts w:hint="eastAsia" w:ascii="Times New Roman" w:hAnsi="仿宋_GB2312" w:eastAsia="仿宋_GB2312"/>
          <w:szCs w:val="32"/>
          <w:lang w:val="en-US" w:eastAsia="zh-CN"/>
        </w:rPr>
        <w:t>20</w:t>
      </w:r>
      <w:r>
        <w:rPr>
          <w:rFonts w:hint="eastAsia" w:ascii="Times New Roman" w:hAnsi="仿宋_GB2312" w:eastAsia="仿宋_GB2312"/>
          <w:szCs w:val="32"/>
        </w:rPr>
        <w:t>年，水务局进一步健全了组织领导体系。根据局组委领导班子人员变化情况，及时调整充实了威海市水务局信息公开工作领导小组成员，确保组织健全。</w:t>
      </w:r>
    </w:p>
    <w:p>
      <w:pPr>
        <w:ind w:firstLine="640" w:firstLineChars="200"/>
        <w:rPr>
          <w:rFonts w:hint="eastAsia" w:ascii="Times New Roman" w:hAnsi="仿宋_GB2312" w:eastAsia="仿宋_GB2312"/>
          <w:szCs w:val="32"/>
          <w:lang w:eastAsia="zh-CN"/>
        </w:rPr>
      </w:pPr>
      <w:r>
        <w:rPr>
          <w:rFonts w:hint="eastAsia" w:ascii="Times New Roman" w:hAnsi="仿宋_GB2312" w:eastAsia="仿宋_GB2312"/>
          <w:szCs w:val="32"/>
          <w:lang w:eastAsia="zh-CN"/>
        </w:rPr>
        <w:drawing>
          <wp:inline distT="0" distB="0" distL="114300" distR="114300">
            <wp:extent cx="5477510" cy="3451225"/>
            <wp:effectExtent l="0" t="0" r="8890" b="15875"/>
            <wp:docPr id="2" name="图片 2" descr="1611814081(1)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611814081(1)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77510" cy="345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 w:ascii="Times New Roman" w:hAnsi="仿宋_GB2312" w:eastAsia="仿宋_GB2312"/>
          <w:szCs w:val="32"/>
        </w:rPr>
      </w:pPr>
      <w:r>
        <w:rPr>
          <w:rFonts w:hint="eastAsia" w:ascii="Times New Roman" w:hAnsi="仿宋_GB2312" w:eastAsia="仿宋_GB2312"/>
          <w:szCs w:val="32"/>
        </w:rPr>
        <w:t>我局通过不同渠道和方式主动公开政府信息数</w:t>
      </w:r>
      <w:r>
        <w:rPr>
          <w:rFonts w:hint="eastAsia" w:ascii="Times New Roman" w:hAnsi="仿宋_GB2312" w:eastAsia="仿宋_GB2312"/>
          <w:szCs w:val="32"/>
          <w:highlight w:val="none"/>
          <w:lang w:val="en-US" w:eastAsia="zh-CN"/>
        </w:rPr>
        <w:t>954</w:t>
      </w:r>
      <w:r>
        <w:rPr>
          <w:rFonts w:hint="eastAsia" w:ascii="Times New Roman" w:hAnsi="仿宋_GB2312" w:eastAsia="仿宋_GB2312"/>
          <w:szCs w:val="32"/>
        </w:rPr>
        <w:t>条，</w:t>
      </w:r>
    </w:p>
    <w:p>
      <w:pPr>
        <w:rPr>
          <w:rFonts w:hint="eastAsia" w:ascii="Times New Roman" w:hAnsi="仿宋_GB2312" w:eastAsia="仿宋_GB2312"/>
          <w:szCs w:val="32"/>
        </w:rPr>
      </w:pPr>
      <w:r>
        <w:rPr>
          <w:rFonts w:hint="eastAsia" w:ascii="Times New Roman" w:hAnsi="仿宋_GB2312" w:eastAsia="仿宋_GB2312"/>
          <w:szCs w:val="32"/>
        </w:rPr>
        <w:t>其中通过政府网站公开政府信息数</w:t>
      </w:r>
      <w:r>
        <w:rPr>
          <w:rFonts w:hint="eastAsia" w:ascii="Times New Roman" w:hAnsi="仿宋_GB2312" w:eastAsia="仿宋_GB2312"/>
          <w:szCs w:val="32"/>
          <w:lang w:val="en-US" w:eastAsia="zh-CN"/>
        </w:rPr>
        <w:t>170</w:t>
      </w:r>
      <w:r>
        <w:rPr>
          <w:rFonts w:hint="eastAsia" w:ascii="Times New Roman" w:hAnsi="仿宋_GB2312" w:eastAsia="仿宋_GB2312"/>
          <w:szCs w:val="32"/>
        </w:rPr>
        <w:t>条，通过政务微博公开政府信息数</w:t>
      </w:r>
      <w:r>
        <w:rPr>
          <w:rFonts w:hint="eastAsia" w:ascii="Times New Roman" w:hAnsi="仿宋_GB2312" w:eastAsia="仿宋_GB2312"/>
          <w:szCs w:val="32"/>
          <w:lang w:val="en-US" w:eastAsia="zh-CN"/>
        </w:rPr>
        <w:t>74</w:t>
      </w:r>
      <w:r>
        <w:rPr>
          <w:rFonts w:hint="eastAsia" w:ascii="Times New Roman" w:hAnsi="仿宋_GB2312" w:eastAsia="仿宋_GB2312"/>
          <w:szCs w:val="32"/>
        </w:rPr>
        <w:t>条, 通过微信公众号公开政府信息数</w:t>
      </w:r>
      <w:r>
        <w:rPr>
          <w:rFonts w:hint="eastAsia" w:ascii="Times New Roman" w:hAnsi="仿宋_GB2312" w:eastAsia="仿宋_GB2312"/>
          <w:szCs w:val="32"/>
          <w:lang w:val="en-US" w:eastAsia="zh-CN"/>
        </w:rPr>
        <w:t>381</w:t>
      </w:r>
      <w:r>
        <w:rPr>
          <w:rFonts w:hint="eastAsia" w:ascii="Times New Roman" w:hAnsi="仿宋_GB2312" w:eastAsia="仿宋_GB2312"/>
          <w:szCs w:val="32"/>
        </w:rPr>
        <w:t>条。共牵头承办市政协第十三届四次会议提案5件（221号、223号、272号、277号、278号），高质量办好3件A类提案，将2件C类提案列入工作计划，按要求公开人大代表和政协委员的建议和提案办理结果，5位委员全部满意。及时、全面、有效地主动公开政府信息，为公众提供了较好的政府信息公开服务。</w:t>
      </w:r>
    </w:p>
    <w:p>
      <w:pPr>
        <w:rPr>
          <w:rFonts w:hint="eastAsia" w:ascii="Times New Roman" w:hAnsi="仿宋_GB2312" w:eastAsia="仿宋_GB2312"/>
          <w:szCs w:val="32"/>
          <w:lang w:eastAsia="zh-CN"/>
        </w:rPr>
      </w:pPr>
      <w:r>
        <w:rPr>
          <w:rFonts w:hint="eastAsia" w:ascii="Times New Roman" w:hAnsi="仿宋_GB2312" w:eastAsia="仿宋_GB2312"/>
          <w:szCs w:val="32"/>
          <w:lang w:eastAsia="zh-CN"/>
        </w:rPr>
        <w:drawing>
          <wp:inline distT="0" distB="0" distL="114300" distR="114300">
            <wp:extent cx="4872355" cy="6743700"/>
            <wp:effectExtent l="0" t="0" r="4445" b="0"/>
            <wp:docPr id="3" name="图片 3" descr="威海市水务局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威海市水务局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72355" cy="674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</w:rPr>
        <w:t>（二）依申请公开情况</w:t>
      </w:r>
    </w:p>
    <w:p>
      <w:pPr>
        <w:ind w:firstLine="640" w:firstLineChars="200"/>
        <w:rPr>
          <w:rFonts w:hint="eastAsia" w:ascii="Times New Roman" w:hAnsi="仿宋_GB2312" w:eastAsia="仿宋_GB2312"/>
          <w:szCs w:val="32"/>
        </w:rPr>
      </w:pPr>
      <w:r>
        <w:rPr>
          <w:rFonts w:hint="eastAsia" w:ascii="Times New Roman" w:hAnsi="仿宋_GB2312" w:eastAsia="仿宋_GB2312"/>
          <w:szCs w:val="32"/>
        </w:rPr>
        <w:t>20</w:t>
      </w:r>
      <w:r>
        <w:rPr>
          <w:rFonts w:hint="eastAsia" w:ascii="Times New Roman" w:hAnsi="仿宋_GB2312" w:eastAsia="仿宋_GB2312"/>
          <w:szCs w:val="32"/>
          <w:lang w:val="en-US" w:eastAsia="zh-CN"/>
        </w:rPr>
        <w:t>20</w:t>
      </w:r>
      <w:r>
        <w:rPr>
          <w:rFonts w:hint="eastAsia" w:ascii="Times New Roman" w:hAnsi="仿宋_GB2312" w:eastAsia="仿宋_GB2312"/>
          <w:szCs w:val="32"/>
        </w:rPr>
        <w:t>年，我单位共收到居民通过不同途径提交的政府信</w:t>
      </w:r>
      <w:r>
        <w:rPr>
          <w:rFonts w:hint="eastAsia" w:ascii="Times New Roman" w:hAnsi="仿宋_GB2312" w:eastAsia="仿宋_GB2312"/>
          <w:szCs w:val="32"/>
          <w:lang w:val="en-US" w:eastAsia="zh-CN"/>
        </w:rPr>
        <w:t>息</w:t>
      </w:r>
      <w:r>
        <w:rPr>
          <w:rFonts w:hint="eastAsia" w:ascii="Times New Roman" w:hAnsi="仿宋_GB2312" w:eastAsia="仿宋_GB2312"/>
          <w:szCs w:val="32"/>
        </w:rPr>
        <w:t>公开申请</w:t>
      </w:r>
      <w:r>
        <w:rPr>
          <w:rFonts w:hint="eastAsia" w:ascii="Times New Roman" w:hAnsi="仿宋_GB2312" w:eastAsia="仿宋_GB2312"/>
          <w:szCs w:val="32"/>
          <w:highlight w:val="none"/>
          <w:lang w:val="en-US" w:eastAsia="zh-CN"/>
        </w:rPr>
        <w:t>3</w:t>
      </w:r>
      <w:r>
        <w:rPr>
          <w:rFonts w:hint="eastAsia" w:ascii="Times New Roman" w:hAnsi="仿宋_GB2312" w:eastAsia="仿宋_GB2312"/>
          <w:szCs w:val="32"/>
        </w:rPr>
        <w:t>件。所有申请件严格按照工作流程和时限要求及时回复，办结率 100%。没有发生关于依申请公开行政复议和行政诉讼。</w:t>
      </w:r>
    </w:p>
    <w:p>
      <w:pPr>
        <w:ind w:firstLine="640" w:firstLineChars="200"/>
        <w:rPr>
          <w:rFonts w:hint="eastAsia"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</w:rPr>
        <w:t>（三）政府信息管理情况</w:t>
      </w:r>
    </w:p>
    <w:p>
      <w:pPr>
        <w:ind w:firstLine="640" w:firstLineChars="200"/>
        <w:rPr>
          <w:rFonts w:hint="eastAsia" w:ascii="Times New Roman" w:hAnsi="仿宋_GB2312" w:eastAsia="仿宋_GB2312"/>
          <w:szCs w:val="32"/>
        </w:rPr>
      </w:pPr>
      <w:r>
        <w:rPr>
          <w:rFonts w:hint="eastAsia" w:ascii="Times New Roman" w:hAnsi="仿宋_GB2312" w:eastAsia="仿宋_GB2312"/>
          <w:szCs w:val="32"/>
        </w:rPr>
        <w:t>加强组织领导，根据机构职能变化情况，及时调整政务公开工作领导小组，加大工作力度，推动工作全面落实。二是建立健全信息公开工作制度。坚持“公开为原则、不公开为例外”的原则，推进政务公开工作规范化有序开展，认真落实信息公开发布审核制度，严格区分主动公开、依申请公开、不予公开工作信息，对公开的信息内容把好文字关、内容关、政治关，确保信息公开及时、准确。三是完善政府信息公开基础。本着高效、快捷、便民的原则，及时完善政府信息公开指南和目录，编制发布了主动公开基本目录，更好地为公民、法人和其他组织提供政府信息公开服务。</w:t>
      </w:r>
    </w:p>
    <w:p>
      <w:pPr>
        <w:ind w:firstLine="640" w:firstLineChars="200"/>
        <w:rPr>
          <w:rFonts w:hint="eastAsia" w:ascii="Times New Roman" w:hAnsi="仿宋_GB2312" w:eastAsia="仿宋_GB2312"/>
          <w:szCs w:val="32"/>
        </w:rPr>
      </w:pPr>
      <w:r>
        <w:rPr>
          <w:rFonts w:hint="eastAsia" w:ascii="Times New Roman" w:hAnsi="仿宋_GB2312" w:eastAsia="仿宋_GB2312"/>
          <w:szCs w:val="32"/>
        </w:rPr>
        <w:t>（四）平台建设情况</w:t>
      </w:r>
    </w:p>
    <w:p>
      <w:pPr>
        <w:ind w:firstLine="640" w:firstLineChars="200"/>
        <w:rPr>
          <w:rFonts w:hint="eastAsia" w:ascii="Times New Roman" w:hAnsi="仿宋_GB2312" w:eastAsia="仿宋_GB2312"/>
          <w:szCs w:val="32"/>
        </w:rPr>
      </w:pPr>
      <w:r>
        <w:rPr>
          <w:rFonts w:hint="eastAsia" w:ascii="Times New Roman" w:hAnsi="仿宋_GB2312" w:eastAsia="仿宋_GB2312"/>
          <w:szCs w:val="32"/>
        </w:rPr>
        <w:t>水务局政府信息公开平台主要由威海市水务局网站、威海市人民政府网站信息公开专栏、威海市水务局微信公众号和政务微博组成，以威海市水务局网站（http://slj.weihai.gov.cn）作为政府信息公开的第一平台，多渠道主动公开政府信息。政府信息公开板块除了主动公开的信息外，还设立“政府信息公开指南”、“政府信息公开制度”、“政府信息公开目录”、“政府信息年度报告”等服务栏目。</w:t>
      </w:r>
      <w:r>
        <w:rPr>
          <w:rFonts w:hint="eastAsia" w:ascii="Times New Roman" w:hAnsi="仿宋_GB2312" w:eastAsia="仿宋_GB2312"/>
          <w:szCs w:val="32"/>
          <w:lang w:val="en-US" w:eastAsia="zh-CN"/>
        </w:rPr>
        <w:t>新媒体</w:t>
      </w:r>
      <w:r>
        <w:rPr>
          <w:rFonts w:hint="eastAsia" w:ascii="Times New Roman" w:hAnsi="仿宋_GB2312" w:eastAsia="仿宋_GB2312"/>
          <w:szCs w:val="32"/>
        </w:rPr>
        <w:t>板块主要为“水润威海新浪官方微博”</w:t>
      </w:r>
      <w:r>
        <w:rPr>
          <w:rFonts w:hint="eastAsia" w:ascii="Times New Roman" w:hAnsi="仿宋_GB2312" w:eastAsia="仿宋_GB2312"/>
          <w:szCs w:val="32"/>
          <w:lang w:eastAsia="zh-CN"/>
        </w:rPr>
        <w:t>、“</w:t>
      </w:r>
      <w:r>
        <w:rPr>
          <w:rFonts w:hint="eastAsia" w:ascii="Times New Roman" w:hAnsi="仿宋_GB2312" w:eastAsia="仿宋_GB2312"/>
          <w:szCs w:val="32"/>
          <w:lang w:val="en-US" w:eastAsia="zh-CN"/>
        </w:rPr>
        <w:t>水润威海官方微信”</w:t>
      </w:r>
      <w:r>
        <w:rPr>
          <w:rFonts w:hint="eastAsia" w:ascii="Times New Roman" w:hAnsi="仿宋_GB2312" w:eastAsia="仿宋_GB2312"/>
          <w:szCs w:val="32"/>
        </w:rPr>
        <w:t>。20</w:t>
      </w:r>
      <w:r>
        <w:rPr>
          <w:rFonts w:hint="eastAsia" w:ascii="Times New Roman" w:hAnsi="仿宋_GB2312" w:eastAsia="仿宋_GB2312"/>
          <w:szCs w:val="32"/>
          <w:lang w:val="en-US" w:eastAsia="zh-CN"/>
        </w:rPr>
        <w:t>20</w:t>
      </w:r>
      <w:r>
        <w:rPr>
          <w:rFonts w:hint="eastAsia" w:ascii="Times New Roman" w:hAnsi="仿宋_GB2312" w:eastAsia="仿宋_GB2312"/>
          <w:szCs w:val="32"/>
        </w:rPr>
        <w:t>年，水务局及时宣传发布水务领域重大事项，方便网民及时了解我市水务工作。积极对接网站技术部门，根据政务公开要求，科学设置网站栏目，确保政府信息全面公开。</w:t>
      </w:r>
    </w:p>
    <w:p>
      <w:pPr>
        <w:rPr>
          <w:rFonts w:hint="eastAsia" w:ascii="Times New Roman" w:hAnsi="仿宋_GB2312" w:eastAsia="仿宋_GB2312"/>
          <w:szCs w:val="32"/>
          <w:lang w:eastAsia="zh-CN"/>
        </w:rPr>
      </w:pPr>
      <w:r>
        <w:rPr>
          <w:rFonts w:hint="eastAsia" w:ascii="Times New Roman" w:hAnsi="仿宋_GB2312" w:eastAsia="仿宋_GB2312"/>
          <w:szCs w:val="32"/>
          <w:lang w:eastAsia="zh-CN"/>
        </w:rPr>
        <w:drawing>
          <wp:inline distT="0" distB="0" distL="114300" distR="114300">
            <wp:extent cx="2091690" cy="3006725"/>
            <wp:effectExtent l="0" t="0" r="3810" b="3175"/>
            <wp:docPr id="5" name="图片 5" descr="微信图片_2021012814334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10128143346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091690" cy="3006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Times New Roman" w:hAnsi="仿宋_GB2312" w:eastAsia="仿宋_GB2312"/>
          <w:szCs w:val="32"/>
          <w:lang w:eastAsia="zh-CN"/>
        </w:rPr>
      </w:pPr>
      <w:r>
        <w:rPr>
          <w:rFonts w:hint="eastAsia" w:ascii="Times New Roman" w:hAnsi="仿宋_GB2312" w:eastAsia="仿宋_GB2312"/>
          <w:szCs w:val="32"/>
          <w:lang w:eastAsia="zh-CN"/>
        </w:rPr>
        <w:drawing>
          <wp:inline distT="0" distB="0" distL="114300" distR="114300">
            <wp:extent cx="5501005" cy="2851150"/>
            <wp:effectExtent l="0" t="0" r="4445" b="6350"/>
            <wp:docPr id="4" name="图片 4" descr="1611815209(1)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611815209(1)"/>
                    <pic:cNvPicPr>
                      <a:picLocks noChangeAspect="true"/>
                    </pic:cNvPicPr>
                  </pic:nvPicPr>
                  <pic:blipFill>
                    <a:blip r:embed="rId8"/>
                    <a:srcRect l="-58" t="8796" r="-208" b="8056"/>
                    <a:stretch>
                      <a:fillRect/>
                    </a:stretch>
                  </pic:blipFill>
                  <pic:spPr>
                    <a:xfrm>
                      <a:off x="0" y="0"/>
                      <a:ext cx="5501005" cy="285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 w:ascii="楷体" w:hAnsi="楷体" w:eastAsia="楷体" w:cs="楷体"/>
          <w:szCs w:val="32"/>
          <w:lang w:eastAsia="zh-CN"/>
        </w:rPr>
      </w:pPr>
      <w:r>
        <w:rPr>
          <w:rFonts w:hint="eastAsia" w:ascii="楷体" w:hAnsi="楷体" w:eastAsia="楷体" w:cs="楷体"/>
          <w:szCs w:val="32"/>
          <w:lang w:eastAsia="zh-CN"/>
        </w:rPr>
        <w:t>（五）监督保障情况</w:t>
      </w:r>
    </w:p>
    <w:p>
      <w:pPr>
        <w:ind w:firstLine="640" w:firstLineChars="200"/>
        <w:rPr>
          <w:rFonts w:hint="eastAsia" w:ascii="Times New Roman" w:hAnsi="仿宋_GB2312" w:eastAsia="仿宋_GB2312"/>
          <w:szCs w:val="32"/>
          <w:lang w:eastAsia="zh-CN"/>
        </w:rPr>
      </w:pPr>
      <w:r>
        <w:rPr>
          <w:rFonts w:hint="eastAsia" w:ascii="Times New Roman" w:hAnsi="仿宋_GB2312" w:eastAsia="仿宋_GB2312"/>
          <w:szCs w:val="32"/>
          <w:lang w:eastAsia="zh-CN"/>
        </w:rPr>
        <w:t>加强对政务信息公开工作的组织领导，进一步完善主要领导亲自抓、分管领导靠上去抓，办公室主管、各科室具体实施，层层抓落实的工作机制。加强人员培训，继续将政务公开工作与部门业务工作统筹安排部署，将政务公务纳入局机关内部考核指标体系，且占比为5%。印发《威海市水务局</w:t>
      </w:r>
      <w:r>
        <w:rPr>
          <w:rFonts w:hint="eastAsia" w:ascii="Times New Roman" w:hAnsi="仿宋_GB2312" w:eastAsia="仿宋_GB2312"/>
          <w:szCs w:val="32"/>
          <w:lang w:val="en-US" w:eastAsia="zh-CN"/>
        </w:rPr>
        <w:t>2020</w:t>
      </w:r>
      <w:r>
        <w:rPr>
          <w:rFonts w:hint="eastAsia" w:ascii="Times New Roman" w:hAnsi="仿宋_GB2312" w:eastAsia="仿宋_GB2312"/>
          <w:szCs w:val="32"/>
          <w:lang w:eastAsia="zh-CN"/>
        </w:rPr>
        <w:t>年政务公开业务培训计划》，全年共组织</w:t>
      </w:r>
      <w:r>
        <w:rPr>
          <w:rFonts w:hint="eastAsia" w:ascii="Times New Roman" w:hAnsi="仿宋_GB2312" w:eastAsia="仿宋_GB2312"/>
          <w:szCs w:val="32"/>
          <w:lang w:val="en-US" w:eastAsia="zh-CN"/>
        </w:rPr>
        <w:t>1</w:t>
      </w:r>
      <w:r>
        <w:rPr>
          <w:rFonts w:hint="eastAsia" w:ascii="Times New Roman" w:hAnsi="仿宋_GB2312" w:eastAsia="仿宋_GB2312"/>
          <w:szCs w:val="32"/>
          <w:lang w:eastAsia="zh-CN"/>
        </w:rPr>
        <w:t>期政务公开教育培训，培训</w:t>
      </w:r>
      <w:r>
        <w:rPr>
          <w:rFonts w:hint="eastAsia" w:ascii="Times New Roman" w:hAnsi="仿宋_GB2312" w:eastAsia="仿宋_GB2312"/>
          <w:szCs w:val="32"/>
          <w:lang w:val="en-US" w:eastAsia="zh-CN"/>
        </w:rPr>
        <w:t>15</w:t>
      </w:r>
      <w:r>
        <w:rPr>
          <w:rFonts w:hint="eastAsia" w:ascii="Times New Roman" w:hAnsi="仿宋_GB2312" w:eastAsia="仿宋_GB2312"/>
          <w:szCs w:val="32"/>
          <w:lang w:eastAsia="zh-CN"/>
        </w:rPr>
        <w:t>0余人次，范围覆盖局机关全体工作人员、市水政监察支队人员全体人员、市水利事务服务中心全体人员，工作能力得到提升，提高了思想意识，形成了人人重视政务公开工作的良好氛围。</w:t>
      </w:r>
    </w:p>
    <w:p>
      <w:pPr>
        <w:ind w:firstLine="640" w:firstLineChars="200"/>
        <w:rPr>
          <w:rFonts w:hint="eastAsia" w:ascii="黑体" w:hAnsi="黑体" w:eastAsia="黑体" w:cs="黑体"/>
          <w:szCs w:val="32"/>
          <w:lang w:eastAsia="zh-CN"/>
        </w:rPr>
      </w:pPr>
      <w:r>
        <w:rPr>
          <w:rFonts w:hint="eastAsia" w:ascii="黑体" w:hAnsi="黑体" w:eastAsia="黑体" w:cs="黑体"/>
          <w:szCs w:val="32"/>
          <w:lang w:eastAsia="zh-CN"/>
        </w:rPr>
        <w:t>二、主动公开政府信息情况</w:t>
      </w:r>
    </w:p>
    <w:tbl>
      <w:tblPr>
        <w:tblStyle w:val="5"/>
        <w:tblW w:w="88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0"/>
        <w:gridCol w:w="2183"/>
        <w:gridCol w:w="1683"/>
        <w:gridCol w:w="19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6" w:type="dxa"/>
            <w:gridSpan w:val="4"/>
            <w:shd w:val="clear" w:color="auto" w:fill="BDD6EE" w:themeFill="accent1" w:themeFillTint="66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第二十条第（一）项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信息内容</w:t>
            </w:r>
          </w:p>
        </w:tc>
        <w:tc>
          <w:tcPr>
            <w:tcW w:w="21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本年</w:t>
            </w:r>
          </w:p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新公开数量</w:t>
            </w:r>
          </w:p>
        </w:tc>
        <w:tc>
          <w:tcPr>
            <w:tcW w:w="16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本年</w:t>
            </w:r>
          </w:p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新制作数量</w:t>
            </w:r>
          </w:p>
        </w:tc>
        <w:tc>
          <w:tcPr>
            <w:tcW w:w="192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对外公开</w:t>
            </w:r>
          </w:p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总数量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规章</w:t>
            </w:r>
          </w:p>
        </w:tc>
        <w:tc>
          <w:tcPr>
            <w:tcW w:w="21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16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192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07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规范性文件</w:t>
            </w:r>
          </w:p>
        </w:tc>
        <w:tc>
          <w:tcPr>
            <w:tcW w:w="21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6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92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6" w:type="dxa"/>
            <w:gridSpan w:val="4"/>
            <w:shd w:val="clear" w:color="auto" w:fill="BDD6EE" w:themeFill="accent1" w:themeFillTint="66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第二十条第（五）项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信息内容</w:t>
            </w:r>
          </w:p>
        </w:tc>
        <w:tc>
          <w:tcPr>
            <w:tcW w:w="2183" w:type="dxa"/>
            <w:vAlign w:val="top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上一年项目数量</w:t>
            </w:r>
          </w:p>
        </w:tc>
        <w:tc>
          <w:tcPr>
            <w:tcW w:w="16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本年增/减</w:t>
            </w:r>
          </w:p>
        </w:tc>
        <w:tc>
          <w:tcPr>
            <w:tcW w:w="192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处理决定数量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行政许可</w:t>
            </w:r>
          </w:p>
        </w:tc>
        <w:tc>
          <w:tcPr>
            <w:tcW w:w="21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158</w:t>
            </w:r>
          </w:p>
        </w:tc>
        <w:tc>
          <w:tcPr>
            <w:tcW w:w="16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192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07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其他对外管理服务事项</w:t>
            </w:r>
          </w:p>
        </w:tc>
        <w:tc>
          <w:tcPr>
            <w:tcW w:w="21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16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192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6" w:type="dxa"/>
            <w:gridSpan w:val="4"/>
            <w:shd w:val="clear" w:color="auto" w:fill="BDD6EE" w:themeFill="accent1" w:themeFillTint="66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第二十条第（六）项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信息内容</w:t>
            </w:r>
          </w:p>
        </w:tc>
        <w:tc>
          <w:tcPr>
            <w:tcW w:w="21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上一年项目数量</w:t>
            </w:r>
          </w:p>
        </w:tc>
        <w:tc>
          <w:tcPr>
            <w:tcW w:w="16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本年增/减</w:t>
            </w:r>
          </w:p>
        </w:tc>
        <w:tc>
          <w:tcPr>
            <w:tcW w:w="192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处理决定数量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行政处罚</w:t>
            </w:r>
          </w:p>
        </w:tc>
        <w:tc>
          <w:tcPr>
            <w:tcW w:w="21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162</w:t>
            </w:r>
          </w:p>
        </w:tc>
        <w:tc>
          <w:tcPr>
            <w:tcW w:w="16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减少4</w:t>
            </w:r>
          </w:p>
        </w:tc>
        <w:tc>
          <w:tcPr>
            <w:tcW w:w="1920" w:type="dxa"/>
          </w:tcPr>
          <w:p>
            <w:pPr>
              <w:jc w:val="center"/>
              <w:rPr>
                <w:rFonts w:hint="default" w:ascii="Times New Roman" w:hAnsi="仿宋_GB2312" w:eastAsia="仿宋_GB2312"/>
                <w:sz w:val="28"/>
                <w:szCs w:val="28"/>
                <w:vertAlign w:val="baseline"/>
                <w:lang w:val="en" w:eastAsia="zh-CN"/>
              </w:rPr>
            </w:pPr>
            <w:r>
              <w:rPr>
                <w:rFonts w:hint="default" w:ascii="Times New Roman" w:hAnsi="仿宋_GB2312" w:eastAsia="仿宋_GB2312"/>
                <w:sz w:val="28"/>
                <w:szCs w:val="28"/>
                <w:vertAlign w:val="baseline"/>
                <w:lang w:val="en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07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行政强制</w:t>
            </w:r>
          </w:p>
        </w:tc>
        <w:tc>
          <w:tcPr>
            <w:tcW w:w="21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16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192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6" w:type="dxa"/>
            <w:gridSpan w:val="4"/>
            <w:shd w:val="clear" w:color="auto" w:fill="BDD6EE" w:themeFill="accent1" w:themeFillTint="66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第二十条第（八）项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信息内容</w:t>
            </w:r>
          </w:p>
        </w:tc>
        <w:tc>
          <w:tcPr>
            <w:tcW w:w="2183" w:type="dxa"/>
            <w:vAlign w:val="top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上一年项目数量</w:t>
            </w:r>
          </w:p>
        </w:tc>
        <w:tc>
          <w:tcPr>
            <w:tcW w:w="3603" w:type="dxa"/>
            <w:gridSpan w:val="2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本年增/减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行政事业性收费</w:t>
            </w:r>
          </w:p>
        </w:tc>
        <w:tc>
          <w:tcPr>
            <w:tcW w:w="21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3603" w:type="dxa"/>
            <w:gridSpan w:val="2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856" w:type="dxa"/>
            <w:gridSpan w:val="4"/>
            <w:shd w:val="clear" w:color="auto" w:fill="BDD6EE" w:themeFill="accent1" w:themeFillTint="66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第二十条第（九）项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信息内容</w:t>
            </w:r>
          </w:p>
        </w:tc>
        <w:tc>
          <w:tcPr>
            <w:tcW w:w="21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采购项目数量</w:t>
            </w:r>
          </w:p>
        </w:tc>
        <w:tc>
          <w:tcPr>
            <w:tcW w:w="3603" w:type="dxa"/>
            <w:gridSpan w:val="2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采购总金额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政府集中采购</w:t>
            </w:r>
          </w:p>
        </w:tc>
        <w:tc>
          <w:tcPr>
            <w:tcW w:w="2183" w:type="dxa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3603" w:type="dxa"/>
            <w:gridSpan w:val="2"/>
          </w:tcPr>
          <w:p>
            <w:p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2848000.63元</w:t>
            </w:r>
          </w:p>
        </w:tc>
      </w:tr>
    </w:tbl>
    <w:p>
      <w:pPr>
        <w:numPr>
          <w:ilvl w:val="0"/>
          <w:numId w:val="0"/>
        </w:numPr>
        <w:rPr>
          <w:rFonts w:hint="eastAsia" w:ascii="黑体" w:hAnsi="黑体" w:eastAsia="黑体" w:cs="黑体"/>
          <w:szCs w:val="32"/>
          <w:lang w:eastAsia="zh-CN"/>
        </w:rPr>
      </w:pP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szCs w:val="32"/>
          <w:lang w:eastAsia="zh-CN"/>
        </w:rPr>
      </w:pPr>
      <w:r>
        <w:rPr>
          <w:rFonts w:hint="eastAsia" w:ascii="黑体" w:hAnsi="黑体" w:eastAsia="黑体" w:cs="黑体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szCs w:val="32"/>
          <w:lang w:eastAsia="zh-CN"/>
        </w:rPr>
        <w:t>收到和处理政府信息公开申请情况</w:t>
      </w:r>
    </w:p>
    <w:tbl>
      <w:tblPr>
        <w:tblStyle w:val="5"/>
        <w:tblW w:w="88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6"/>
        <w:gridCol w:w="867"/>
        <w:gridCol w:w="1400"/>
        <w:gridCol w:w="1000"/>
        <w:gridCol w:w="717"/>
        <w:gridCol w:w="733"/>
        <w:gridCol w:w="1017"/>
        <w:gridCol w:w="983"/>
        <w:gridCol w:w="700"/>
        <w:gridCol w:w="7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953" w:type="dxa"/>
            <w:gridSpan w:val="3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  <w:t>（本列数据的勾稽关系为：第一项加第</w:t>
            </w:r>
          </w:p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  <w:t>二项之和，等于第三项加第四项之和）</w:t>
            </w:r>
          </w:p>
        </w:tc>
        <w:tc>
          <w:tcPr>
            <w:tcW w:w="5903" w:type="dxa"/>
            <w:gridSpan w:val="7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申请人情况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953" w:type="dxa"/>
            <w:gridSpan w:val="3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000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自然人</w:t>
            </w:r>
          </w:p>
        </w:tc>
        <w:tc>
          <w:tcPr>
            <w:tcW w:w="4150" w:type="dxa"/>
            <w:gridSpan w:val="5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法人或其他组织</w:t>
            </w:r>
          </w:p>
        </w:tc>
        <w:tc>
          <w:tcPr>
            <w:tcW w:w="753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953" w:type="dxa"/>
            <w:gridSpan w:val="3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000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商业企业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科研机构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社会公益组织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法律服务机构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其他</w:t>
            </w:r>
          </w:p>
        </w:tc>
        <w:tc>
          <w:tcPr>
            <w:tcW w:w="753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953" w:type="dxa"/>
            <w:gridSpan w:val="3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  <w:t xml:space="preserve">一、本年新收政府信息公开申请数量 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953" w:type="dxa"/>
            <w:gridSpan w:val="3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  <w:t xml:space="preserve">二、上年结转政府信息公开申请数量 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  <w:t>三、</w:t>
            </w:r>
          </w:p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  <w:t>本年</w:t>
            </w:r>
          </w:p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  <w:t>度办</w:t>
            </w:r>
          </w:p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  <w:t>理结</w:t>
            </w:r>
          </w:p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  <w:t>果</w:t>
            </w:r>
          </w:p>
        </w:tc>
        <w:tc>
          <w:tcPr>
            <w:tcW w:w="2267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（一）予以公开</w:t>
            </w: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  <w:t xml:space="preserve"> 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2267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（二）部分公开（区分处理的，</w:t>
            </w:r>
          </w:p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只计这一情形，不计其他情形）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867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  <w:t>（</w:t>
            </w: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三）</w:t>
            </w:r>
          </w:p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不予公开</w:t>
            </w:r>
          </w:p>
        </w:tc>
        <w:tc>
          <w:tcPr>
            <w:tcW w:w="14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1.属于国家秘密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86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2.其他法律行政法规禁止公开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86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3.危及“三安全一稳定”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86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4.保护第三方合法权益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86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5.属于三类内部事务信息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86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6.属于四类过程性信息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86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 xml:space="preserve">7.属于行政执法案卷 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86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 xml:space="preserve">8.属于行政查询事项 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867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（四）</w:t>
            </w:r>
          </w:p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无法提供</w:t>
            </w:r>
          </w:p>
        </w:tc>
        <w:tc>
          <w:tcPr>
            <w:tcW w:w="14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1.本机关不掌握相关政府信息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86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2.没有现成信息需要另行制作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86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3.补正后申请内容仍不明确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867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（五）</w:t>
            </w:r>
          </w:p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不予处理</w:t>
            </w:r>
          </w:p>
        </w:tc>
        <w:tc>
          <w:tcPr>
            <w:tcW w:w="14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1.信访举报投诉类申请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86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2.重复申请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86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3.要求提供公开出版物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86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4.无正当理由大量反复申请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867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4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>5.要求行政机关确认或重新出具已获取信息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2267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 xml:space="preserve">（六）其他处理 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2267" w:type="dxa"/>
            <w:gridSpan w:val="2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  <w:t xml:space="preserve">（七）总计 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" w:eastAsia="zh-CN"/>
              </w:rPr>
            </w:pPr>
            <w:r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" w:eastAsia="zh-CN"/>
              </w:rPr>
              <w:t>3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" w:eastAsia="zh-CN"/>
              </w:rPr>
            </w:pPr>
            <w:r>
              <w:rPr>
                <w:rFonts w:hint="default" w:ascii="Times New Roman" w:hAnsi="仿宋_GB2312" w:eastAsia="仿宋_GB2312"/>
                <w:sz w:val="24"/>
                <w:szCs w:val="24"/>
                <w:vertAlign w:val="baseline"/>
                <w:lang w:val="en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953" w:type="dxa"/>
            <w:gridSpan w:val="3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eastAsia="zh-CN"/>
              </w:rPr>
              <w:t>四、结转下年度继续办理</w:t>
            </w:r>
          </w:p>
        </w:tc>
        <w:tc>
          <w:tcPr>
            <w:tcW w:w="10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3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101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98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0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  <w:tc>
          <w:tcPr>
            <w:tcW w:w="753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</w:tbl>
    <w:p>
      <w:pPr>
        <w:numPr>
          <w:ilvl w:val="0"/>
          <w:numId w:val="0"/>
        </w:numPr>
        <w:rPr>
          <w:rFonts w:hint="eastAsia" w:ascii="Times New Roman" w:hAnsi="仿宋_GB2312" w:eastAsia="仿宋_GB2312"/>
          <w:szCs w:val="32"/>
          <w:lang w:eastAsia="zh-CN"/>
        </w:rPr>
      </w:pP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szCs w:val="32"/>
          <w:lang w:eastAsia="zh-CN"/>
        </w:rPr>
      </w:pPr>
      <w:r>
        <w:rPr>
          <w:rFonts w:hint="eastAsia" w:ascii="黑体" w:hAnsi="黑体" w:eastAsia="黑体" w:cs="黑体"/>
          <w:szCs w:val="32"/>
          <w:lang w:eastAsia="zh-CN"/>
        </w:rPr>
        <w:t>四、政府信息公开行政复议、行政诉讼情况</w:t>
      </w:r>
    </w:p>
    <w:tbl>
      <w:tblPr>
        <w:tblStyle w:val="5"/>
        <w:tblW w:w="88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5"/>
        <w:gridCol w:w="595"/>
        <w:gridCol w:w="595"/>
        <w:gridCol w:w="595"/>
        <w:gridCol w:w="596"/>
        <w:gridCol w:w="596"/>
        <w:gridCol w:w="596"/>
        <w:gridCol w:w="596"/>
        <w:gridCol w:w="596"/>
        <w:gridCol w:w="596"/>
        <w:gridCol w:w="591"/>
        <w:gridCol w:w="591"/>
        <w:gridCol w:w="581"/>
        <w:gridCol w:w="575"/>
        <w:gridCol w:w="5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976" w:type="dxa"/>
            <w:gridSpan w:val="5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行政复议</w:t>
            </w:r>
          </w:p>
        </w:tc>
        <w:tc>
          <w:tcPr>
            <w:tcW w:w="5880" w:type="dxa"/>
            <w:gridSpan w:val="10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行政诉讼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595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结果维持</w:t>
            </w:r>
          </w:p>
        </w:tc>
        <w:tc>
          <w:tcPr>
            <w:tcW w:w="595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结果纠正</w:t>
            </w:r>
          </w:p>
        </w:tc>
        <w:tc>
          <w:tcPr>
            <w:tcW w:w="595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其他结果</w:t>
            </w:r>
          </w:p>
        </w:tc>
        <w:tc>
          <w:tcPr>
            <w:tcW w:w="595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尚未审结</w:t>
            </w:r>
          </w:p>
        </w:tc>
        <w:tc>
          <w:tcPr>
            <w:tcW w:w="596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总计</w:t>
            </w:r>
          </w:p>
        </w:tc>
        <w:tc>
          <w:tcPr>
            <w:tcW w:w="2980" w:type="dxa"/>
            <w:gridSpan w:val="5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  <w:t>未经复议直接起诉</w:t>
            </w:r>
          </w:p>
        </w:tc>
        <w:tc>
          <w:tcPr>
            <w:tcW w:w="2900" w:type="dxa"/>
            <w:gridSpan w:val="5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  <w:t>复议后起诉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8" w:hRule="atLeast"/>
        </w:trPr>
        <w:tc>
          <w:tcPr>
            <w:tcW w:w="59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59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59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59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596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59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结果维持</w:t>
            </w:r>
          </w:p>
        </w:tc>
        <w:tc>
          <w:tcPr>
            <w:tcW w:w="59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结果纠正</w:t>
            </w:r>
          </w:p>
        </w:tc>
        <w:tc>
          <w:tcPr>
            <w:tcW w:w="59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其他结果</w:t>
            </w:r>
          </w:p>
        </w:tc>
        <w:tc>
          <w:tcPr>
            <w:tcW w:w="59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尚未审结</w:t>
            </w:r>
          </w:p>
        </w:tc>
        <w:tc>
          <w:tcPr>
            <w:tcW w:w="59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总计</w:t>
            </w:r>
          </w:p>
        </w:tc>
        <w:tc>
          <w:tcPr>
            <w:tcW w:w="591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结果维持</w:t>
            </w:r>
          </w:p>
        </w:tc>
        <w:tc>
          <w:tcPr>
            <w:tcW w:w="591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结果纠正</w:t>
            </w:r>
          </w:p>
        </w:tc>
        <w:tc>
          <w:tcPr>
            <w:tcW w:w="581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其他结果</w:t>
            </w:r>
          </w:p>
        </w:tc>
        <w:tc>
          <w:tcPr>
            <w:tcW w:w="57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尚未审结</w:t>
            </w:r>
          </w:p>
        </w:tc>
        <w:tc>
          <w:tcPr>
            <w:tcW w:w="562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59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59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59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59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59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59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59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59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59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596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591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591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581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57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562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仿宋_GB2312" w:eastAsia="仿宋_GB2312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</w:tr>
    </w:tbl>
    <w:p>
      <w:pPr>
        <w:numPr>
          <w:ilvl w:val="0"/>
          <w:numId w:val="0"/>
        </w:numPr>
        <w:rPr>
          <w:rFonts w:hint="eastAsia" w:ascii="Times New Roman" w:hAnsi="仿宋_GB2312" w:eastAsia="仿宋_GB2312"/>
          <w:szCs w:val="32"/>
          <w:lang w:eastAsia="zh-CN"/>
        </w:rPr>
      </w:pP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szCs w:val="32"/>
          <w:lang w:eastAsia="zh-CN"/>
        </w:rPr>
      </w:pPr>
      <w:r>
        <w:rPr>
          <w:rFonts w:hint="eastAsia" w:ascii="黑体" w:hAnsi="黑体" w:eastAsia="黑体" w:cs="黑体"/>
          <w:szCs w:val="32"/>
          <w:lang w:eastAsia="zh-CN"/>
        </w:rPr>
        <w:t>五、存在的主要问题及改进情况</w:t>
      </w:r>
    </w:p>
    <w:p>
      <w:pPr>
        <w:numPr>
          <w:ilvl w:val="0"/>
          <w:numId w:val="0"/>
        </w:numPr>
        <w:ind w:firstLine="640" w:firstLineChars="200"/>
        <w:rPr>
          <w:rFonts w:hint="eastAsia" w:ascii="Times New Roman" w:hAnsi="仿宋_GB2312" w:eastAsia="仿宋_GB2312"/>
          <w:szCs w:val="32"/>
          <w:lang w:eastAsia="zh-CN"/>
        </w:rPr>
      </w:pPr>
      <w:r>
        <w:rPr>
          <w:rFonts w:hint="eastAsia" w:ascii="Times New Roman" w:hAnsi="仿宋_GB2312" w:eastAsia="仿宋_GB2312"/>
          <w:szCs w:val="32"/>
          <w:lang w:eastAsia="zh-CN"/>
        </w:rPr>
        <w:t>20</w:t>
      </w:r>
      <w:r>
        <w:rPr>
          <w:rFonts w:hint="eastAsia" w:ascii="Times New Roman" w:hAnsi="仿宋_GB2312" w:eastAsia="仿宋_GB2312"/>
          <w:szCs w:val="32"/>
          <w:lang w:val="en-US" w:eastAsia="zh-CN"/>
        </w:rPr>
        <w:t>20年度，</w:t>
      </w:r>
      <w:r>
        <w:rPr>
          <w:rFonts w:hint="eastAsia" w:ascii="Times New Roman" w:hAnsi="仿宋_GB2312" w:eastAsia="仿宋_GB2312"/>
          <w:szCs w:val="32"/>
          <w:lang w:eastAsia="zh-CN"/>
        </w:rPr>
        <w:t>我局政府信息公开工作取得一些成绩，较好地完成了今年工作任务，但工作中也存在问题和不足。一是信息公开的内容需加强完善，广度深度等质量方面有待提高；二是信息上报、公开还不够及时；三是政务公开专业能力有待提升，规范性有待加强，创新力不足。</w:t>
      </w:r>
    </w:p>
    <w:p>
      <w:pPr>
        <w:numPr>
          <w:ilvl w:val="0"/>
          <w:numId w:val="0"/>
        </w:numPr>
        <w:ind w:firstLine="640" w:firstLineChars="200"/>
        <w:rPr>
          <w:rFonts w:hint="eastAsia" w:ascii="Times New Roman" w:hAnsi="仿宋_GB2312" w:eastAsia="仿宋_GB2312"/>
          <w:szCs w:val="32"/>
          <w:lang w:eastAsia="zh-CN"/>
        </w:rPr>
      </w:pPr>
      <w:r>
        <w:rPr>
          <w:rFonts w:hint="eastAsia" w:ascii="Times New Roman" w:hAnsi="仿宋_GB2312" w:eastAsia="仿宋_GB2312"/>
          <w:szCs w:val="32"/>
          <w:lang w:eastAsia="zh-CN"/>
        </w:rPr>
        <w:t>在接下来的工作中，我局将重新、全面部署政务信息公开工作，推动对水利文件的政策解读数量增加和形式创新，及时更新群众关切的要闻和政策信息，在确保信息公开实效的基础上，扩大群众广泛参与度，拉近与群众距离；健全完善政务信息公开制度，加强组织领导，定期定点、按时更新要闻和时事栏目，建立信息公开督导小组，确保信息准时、准确公开，进而形成常态化联动机，共同推动我局政务公开工作落到实处；定期组织政务新媒体工作人员参加上级组织的专业技能培训，开阔视野和格局，借鉴兄弟政务平台的优秀经验，用“他山之石”创新工作思路和想法；运营、维护好“水润威海”微信公众号</w:t>
      </w:r>
      <w:r>
        <w:rPr>
          <w:rFonts w:hint="eastAsia" w:ascii="Times New Roman" w:hAnsi="仿宋_GB2312" w:eastAsia="仿宋_GB2312"/>
          <w:szCs w:val="32"/>
          <w:lang w:val="en-US" w:eastAsia="zh-CN"/>
        </w:rPr>
        <w:t>与“水润威海”政务微博平台</w:t>
      </w:r>
      <w:r>
        <w:rPr>
          <w:rFonts w:hint="eastAsia" w:ascii="Times New Roman" w:hAnsi="仿宋_GB2312" w:eastAsia="仿宋_GB2312"/>
          <w:szCs w:val="32"/>
          <w:lang w:eastAsia="zh-CN"/>
        </w:rPr>
        <w:t>，提高运营维护者服务社会、服务人民的责任意识，用水务力量将政务信息公开工作水平提升到新层次。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szCs w:val="32"/>
          <w:lang w:eastAsia="zh-CN"/>
        </w:rPr>
      </w:pPr>
      <w:r>
        <w:rPr>
          <w:rFonts w:hint="eastAsia" w:ascii="黑体" w:hAnsi="黑体" w:eastAsia="黑体" w:cs="黑体"/>
          <w:szCs w:val="32"/>
          <w:lang w:eastAsia="zh-CN"/>
        </w:rPr>
        <w:t>六、其他需要报告的事项</w:t>
      </w:r>
    </w:p>
    <w:p>
      <w:pPr>
        <w:numPr>
          <w:ilvl w:val="0"/>
          <w:numId w:val="0"/>
        </w:numPr>
        <w:ind w:firstLine="640" w:firstLineChars="200"/>
        <w:rPr>
          <w:rFonts w:hint="eastAsia" w:ascii="Times New Roman" w:hAnsi="仿宋_GB2312" w:eastAsia="仿宋_GB2312"/>
          <w:szCs w:val="32"/>
          <w:lang w:val="en-US" w:eastAsia="zh-CN"/>
        </w:rPr>
      </w:pPr>
      <w:r>
        <w:rPr>
          <w:rFonts w:hint="eastAsia" w:ascii="Times New Roman" w:hAnsi="仿宋_GB2312" w:eastAsia="仿宋_GB2312"/>
          <w:szCs w:val="32"/>
          <w:lang w:val="en-US" w:eastAsia="zh-CN"/>
        </w:rPr>
        <w:t>无。</w:t>
      </w:r>
    </w:p>
    <w:p>
      <w:pPr>
        <w:numPr>
          <w:ilvl w:val="0"/>
          <w:numId w:val="0"/>
        </w:numPr>
        <w:ind w:firstLine="640" w:firstLineChars="200"/>
        <w:rPr>
          <w:rFonts w:hint="eastAsia" w:ascii="Times New Roman" w:hAnsi="仿宋_GB2312" w:eastAsia="仿宋_GB2312"/>
          <w:szCs w:val="32"/>
          <w:lang w:val="en-US" w:eastAsia="zh-CN"/>
        </w:rPr>
      </w:pPr>
    </w:p>
    <w:p>
      <w:pPr>
        <w:numPr>
          <w:ilvl w:val="0"/>
          <w:numId w:val="0"/>
        </w:numPr>
        <w:ind w:firstLine="640" w:firstLineChars="200"/>
        <w:rPr>
          <w:rFonts w:hint="eastAsia" w:ascii="Times New Roman" w:hAnsi="仿宋_GB2312" w:eastAsia="仿宋_GB2312"/>
          <w:szCs w:val="32"/>
          <w:lang w:val="en-US" w:eastAsia="zh-CN"/>
        </w:rPr>
      </w:pPr>
    </w:p>
    <w:p>
      <w:pPr>
        <w:numPr>
          <w:ilvl w:val="0"/>
          <w:numId w:val="0"/>
        </w:numPr>
        <w:wordWrap w:val="0"/>
        <w:ind w:firstLine="640" w:firstLineChars="200"/>
        <w:jc w:val="right"/>
        <w:rPr>
          <w:rFonts w:hint="eastAsia" w:ascii="Times New Roman" w:hAnsi="仿宋_GB2312" w:eastAsia="仿宋_GB2312"/>
          <w:szCs w:val="32"/>
          <w:lang w:val="en-US" w:eastAsia="zh-CN"/>
        </w:rPr>
      </w:pPr>
      <w:r>
        <w:rPr>
          <w:rFonts w:hint="eastAsia" w:ascii="Times New Roman" w:hAnsi="仿宋_GB2312" w:eastAsia="仿宋_GB2312"/>
          <w:szCs w:val="32"/>
          <w:lang w:val="en-US" w:eastAsia="zh-CN"/>
        </w:rPr>
        <w:t xml:space="preserve">威海市水务局  </w:t>
      </w:r>
    </w:p>
    <w:p>
      <w:pPr>
        <w:numPr>
          <w:ilvl w:val="0"/>
          <w:numId w:val="0"/>
        </w:numPr>
        <w:ind w:firstLine="640" w:firstLineChars="200"/>
        <w:jc w:val="right"/>
        <w:rPr>
          <w:rFonts w:hint="eastAsia" w:ascii="Times New Roman" w:hAnsi="仿宋_GB2312" w:eastAsia="仿宋_GB2312"/>
          <w:szCs w:val="32"/>
          <w:lang w:val="en-US" w:eastAsia="zh-CN"/>
        </w:rPr>
      </w:pPr>
      <w:r>
        <w:rPr>
          <w:rFonts w:hint="eastAsia" w:ascii="Times New Roman" w:hAnsi="仿宋_GB2312" w:eastAsia="仿宋_GB2312"/>
          <w:szCs w:val="32"/>
          <w:lang w:val="en-US" w:eastAsia="zh-CN"/>
        </w:rPr>
        <w:t>2021年1月28日</w:t>
      </w:r>
    </w:p>
    <w:sectPr>
      <w:footerReference r:id="rId3" w:type="default"/>
      <w:pgSz w:w="12240" w:h="15840"/>
      <w:pgMar w:top="1440" w:right="1800" w:bottom="1440" w:left="1800" w:header="720" w:footer="720" w:gutter="0"/>
      <w:lnNumType w:countBy="0" w:distance="360"/>
      <w:pgNumType w:fmt="numberInDash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繁小标宋">
    <w:altName w:val="方正小标宋_GBK"/>
    <w:panose1 w:val="0201060900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矩形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- 10 -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WAAAAZHJzL1BLAQIU&#10;ABQAAAAIAIdO4kC5dblS0AAAAAUBAAAPAAAAAAAAAAEAIAAAADgAAABkcnMvZG93bnJldi54bWxQ&#10;SwECFAAUAAAACACHTuJASC6/wLABAABLAwAADgAAAAAAAAABACAAAAA1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t>- 10 -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BB1758"/>
    <w:rsid w:val="072D29C9"/>
    <w:rsid w:val="07357951"/>
    <w:rsid w:val="0DCE35AE"/>
    <w:rsid w:val="13BB1758"/>
    <w:rsid w:val="205170B7"/>
    <w:rsid w:val="2A566745"/>
    <w:rsid w:val="2BFDAC6E"/>
    <w:rsid w:val="392678FF"/>
    <w:rsid w:val="3DBECB04"/>
    <w:rsid w:val="3DFC1988"/>
    <w:rsid w:val="3F3E5595"/>
    <w:rsid w:val="3F7073EB"/>
    <w:rsid w:val="43611923"/>
    <w:rsid w:val="45BC26F7"/>
    <w:rsid w:val="511A1A7C"/>
    <w:rsid w:val="536C4160"/>
    <w:rsid w:val="548266E2"/>
    <w:rsid w:val="5725D387"/>
    <w:rsid w:val="5EEA6A08"/>
    <w:rsid w:val="5FFE8868"/>
    <w:rsid w:val="6151645B"/>
    <w:rsid w:val="61E95B9C"/>
    <w:rsid w:val="62EC2F41"/>
    <w:rsid w:val="67BE1B3A"/>
    <w:rsid w:val="6B703368"/>
    <w:rsid w:val="6E7F2280"/>
    <w:rsid w:val="6F173526"/>
    <w:rsid w:val="77E829E5"/>
    <w:rsid w:val="79A93996"/>
    <w:rsid w:val="7BFD2326"/>
    <w:rsid w:val="7CF8305B"/>
    <w:rsid w:val="7FC44B97"/>
    <w:rsid w:val="B63D11B0"/>
    <w:rsid w:val="E5F55CBF"/>
    <w:rsid w:val="EB3FDCB7"/>
    <w:rsid w:val="FAEF3ECF"/>
    <w:rsid w:val="FBABF0F9"/>
    <w:rsid w:val="FCB582D0"/>
    <w:rsid w:val="FFD36E11"/>
    <w:rsid w:val="FFFD8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Times New Roman" w:eastAsia="文星繁小标宋" w:cs="Times New Roman"/>
      <w:kern w:val="2"/>
      <w:sz w:val="3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96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2021-01-28T19:14:00Z</dcterms:created>
  <dc:creator>Administrator</dc:creator>
  <cp:lastModifiedBy>小卤蛋</cp:lastModifiedBy>
  <dcterms:modified xsi:type="dcterms:W3CDTF">2022-08-12T10:24:23Z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KSOSaveFontToCloudKey">
    <vt:lpwstr>458651970_btnclosed</vt:lpwstr>
  </property>
  <property fmtid="{D5CDD505-2E9C-101B-9397-08002B2CF9AE}" pid="4" name="ICV">
    <vt:lpwstr>FCEF6AA19D594CE19E24A2D909B85A14</vt:lpwstr>
  </property>
</Properties>
</file>